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4CCF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sz w:val="44"/>
          <w:szCs w:val="44"/>
          <w:highlight w:val="none"/>
        </w:rPr>
      </w:pPr>
      <w:r>
        <w:rPr>
          <w:rFonts w:hint="eastAsia" w:eastAsia="方正小标宋简体" w:cs="方正小标宋简体"/>
          <w:sz w:val="44"/>
          <w:szCs w:val="44"/>
          <w:highlight w:val="none"/>
          <w:lang w:val="en-US" w:eastAsia="zh-CN"/>
        </w:rPr>
        <w:t>东莞市</w:t>
      </w:r>
      <w:r>
        <w:rPr>
          <w:rFonts w:hint="eastAsia" w:ascii="Times New Roman" w:hAnsi="Times New Roman" w:eastAsia="方正小标宋简体" w:cs="方正小标宋简体"/>
          <w:sz w:val="44"/>
          <w:szCs w:val="44"/>
          <w:highlight w:val="none"/>
          <w:lang w:val="en-US" w:eastAsia="zh-CN"/>
        </w:rPr>
        <w:t>电动工具</w:t>
      </w:r>
      <w:r>
        <w:rPr>
          <w:rFonts w:hint="eastAsia" w:ascii="Times New Roman" w:hAnsi="Times New Roman" w:eastAsia="方正小标宋简体" w:cs="方正小标宋简体"/>
          <w:sz w:val="44"/>
          <w:szCs w:val="44"/>
          <w:highlight w:val="none"/>
        </w:rPr>
        <w:t>产品质量监督抽查实施细则</w:t>
      </w:r>
    </w:p>
    <w:p w14:paraId="67934FD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sz w:val="32"/>
          <w:szCs w:val="40"/>
          <w:highlight w:val="none"/>
        </w:rPr>
      </w:pPr>
      <w:r>
        <w:rPr>
          <w:rFonts w:hint="eastAsia" w:ascii="Times New Roman" w:hAnsi="Times New Roman" w:eastAsia="楷体_GB2312" w:cs="楷体_GB2312"/>
          <w:sz w:val="32"/>
          <w:szCs w:val="40"/>
          <w:highlight w:val="none"/>
        </w:rPr>
        <w:t>（202</w:t>
      </w:r>
      <w:r>
        <w:rPr>
          <w:rFonts w:hint="eastAsia" w:ascii="Times New Roman" w:hAnsi="Times New Roman" w:eastAsia="楷体_GB2312" w:cs="楷体_GB2312"/>
          <w:sz w:val="32"/>
          <w:szCs w:val="40"/>
          <w:highlight w:val="none"/>
          <w:lang w:val="en-US" w:eastAsia="zh-CN"/>
        </w:rPr>
        <w:t>6</w:t>
      </w:r>
      <w:r>
        <w:rPr>
          <w:rFonts w:hint="eastAsia" w:ascii="Times New Roman" w:hAnsi="Times New Roman" w:eastAsia="楷体_GB2312" w:cs="楷体_GB2312"/>
          <w:sz w:val="32"/>
          <w:szCs w:val="40"/>
          <w:highlight w:val="none"/>
        </w:rPr>
        <w:t>年版）</w:t>
      </w:r>
    </w:p>
    <w:p w14:paraId="7F5312C3">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sz w:val="32"/>
          <w:szCs w:val="40"/>
          <w:highlight w:val="none"/>
        </w:rPr>
      </w:pPr>
    </w:p>
    <w:p w14:paraId="23A5C4C3">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黑体" w:cs="黑体"/>
          <w:sz w:val="32"/>
          <w:szCs w:val="40"/>
        </w:rPr>
      </w:pPr>
      <w:r>
        <w:rPr>
          <w:rFonts w:ascii="Times New Roman" w:hAnsi="Times New Roman" w:eastAsia="黑体" w:cs="黑体"/>
          <w:sz w:val="32"/>
          <w:szCs w:val="40"/>
        </w:rPr>
        <w:t xml:space="preserve">1 </w:t>
      </w:r>
      <w:r>
        <w:rPr>
          <w:rFonts w:hint="eastAsia" w:ascii="Times New Roman" w:hAnsi="Times New Roman" w:eastAsia="黑体" w:cs="黑体"/>
          <w:sz w:val="32"/>
          <w:szCs w:val="40"/>
        </w:rPr>
        <w:t>抽样方法</w:t>
      </w:r>
      <w:bookmarkStart w:id="0" w:name="_GoBack"/>
      <w:bookmarkEnd w:id="0"/>
    </w:p>
    <w:p w14:paraId="02BFE84F">
      <w:pPr>
        <w:keepNext w:val="0"/>
        <w:keepLines w:val="0"/>
        <w:pageBreakBefore w:val="0"/>
        <w:widowControl w:val="0"/>
        <w:kinsoku/>
        <w:wordWrap/>
        <w:overflowPunct/>
        <w:topLinePunct w:val="0"/>
        <w:autoSpaceDN/>
        <w:bidi w:val="0"/>
        <w:adjustRightInd/>
        <w:snapToGrid/>
        <w:spacing w:line="560" w:lineRule="exact"/>
        <w:ind w:firstLine="608" w:firstLineChars="200"/>
        <w:textAlignment w:val="auto"/>
        <w:rPr>
          <w:rFonts w:hint="eastAsia" w:ascii="Times New Roman" w:hAnsi="Times New Roman" w:eastAsia="仿宋_GB2312" w:cs="仿宋_GB2312"/>
          <w:spacing w:val="-6"/>
          <w:sz w:val="32"/>
          <w:szCs w:val="40"/>
        </w:rPr>
      </w:pPr>
      <w:r>
        <w:rPr>
          <w:rFonts w:hint="eastAsia" w:ascii="Times New Roman" w:hAnsi="Times New Roman" w:eastAsia="仿宋_GB2312" w:cs="仿宋_GB2312"/>
          <w:spacing w:val="-6"/>
          <w:sz w:val="32"/>
          <w:szCs w:val="40"/>
        </w:rPr>
        <w:t>以随机抽样的方式在被抽样生产者、销售者的待销产品中抽取。</w:t>
      </w:r>
    </w:p>
    <w:p w14:paraId="2B91499F">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随机数一般可使用随机数表等方法产生。</w:t>
      </w:r>
    </w:p>
    <w:p w14:paraId="71994126">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仿宋_GB2312" w:cs="仿宋_GB2312"/>
          <w:sz w:val="32"/>
          <w:szCs w:val="40"/>
        </w:rPr>
      </w:pPr>
      <w:r>
        <w:rPr>
          <w:rFonts w:hint="eastAsia" w:ascii="Times New Roman" w:hAnsi="Times New Roman" w:eastAsia="仿宋_GB2312" w:cs="仿宋_GB2312"/>
          <w:sz w:val="32"/>
          <w:szCs w:val="40"/>
        </w:rPr>
        <w:t>每批次产品抽取样品3台，其中2台作为检验样品、1台作为备用样品。</w:t>
      </w:r>
    </w:p>
    <w:p w14:paraId="0CECF2FF">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黑体" w:cs="黑体"/>
          <w:sz w:val="32"/>
          <w:szCs w:val="40"/>
        </w:rPr>
      </w:pPr>
      <w:r>
        <w:rPr>
          <w:rFonts w:ascii="Times New Roman" w:hAnsi="Times New Roman" w:eastAsia="黑体" w:cs="黑体"/>
          <w:sz w:val="32"/>
          <w:szCs w:val="40"/>
        </w:rPr>
        <w:t xml:space="preserve">2 </w:t>
      </w:r>
      <w:r>
        <w:rPr>
          <w:rFonts w:hint="eastAsia" w:ascii="Times New Roman" w:hAnsi="Times New Roman" w:eastAsia="黑体" w:cs="黑体"/>
          <w:sz w:val="32"/>
          <w:szCs w:val="40"/>
        </w:rPr>
        <w:t>检验依据</w:t>
      </w:r>
    </w:p>
    <w:p w14:paraId="5E7C633A">
      <w:pPr>
        <w:keepNext w:val="0"/>
        <w:keepLines w:val="0"/>
        <w:pageBreakBefore w:val="0"/>
        <w:widowControl w:val="0"/>
        <w:kinsoku/>
        <w:wordWrap/>
        <w:overflowPunct/>
        <w:topLinePunct w:val="0"/>
        <w:autoSpaceDN/>
        <w:bidi w:val="0"/>
        <w:adjustRightInd/>
        <w:snapToGrid/>
        <w:spacing w:line="560" w:lineRule="exact"/>
        <w:jc w:val="center"/>
        <w:textAlignment w:val="auto"/>
        <w:rPr>
          <w:rFonts w:hint="default" w:ascii="Times New Roman" w:hAnsi="Times New Roman" w:eastAsia="仿宋_GB2312" w:cs="仿宋_GB2312"/>
          <w:sz w:val="32"/>
          <w:szCs w:val="40"/>
          <w:lang w:val="en-US" w:eastAsia="zh-CN"/>
        </w:rPr>
      </w:pPr>
      <w:r>
        <w:rPr>
          <w:rFonts w:hint="eastAsia" w:ascii="Times New Roman" w:hAnsi="Times New Roman" w:cs="仿宋_GB2312"/>
          <w:sz w:val="32"/>
          <w:szCs w:val="40"/>
          <w:lang w:val="en-US" w:eastAsia="zh-CN"/>
        </w:rPr>
        <w:t>表1 电钻检验项目</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4568"/>
        <w:gridCol w:w="3234"/>
      </w:tblGrid>
      <w:tr w14:paraId="51F9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49087C1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序号</w:t>
            </w:r>
          </w:p>
        </w:tc>
        <w:tc>
          <w:tcPr>
            <w:tcW w:w="2521" w:type="pct"/>
            <w:vAlign w:val="center"/>
          </w:tcPr>
          <w:p w14:paraId="3C67300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检验项目</w:t>
            </w:r>
          </w:p>
        </w:tc>
        <w:tc>
          <w:tcPr>
            <w:tcW w:w="1785" w:type="pct"/>
            <w:vAlign w:val="center"/>
          </w:tcPr>
          <w:p w14:paraId="2EC2917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检验方法</w:t>
            </w:r>
          </w:p>
        </w:tc>
      </w:tr>
      <w:tr w14:paraId="6DBE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5B04F3C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w:t>
            </w:r>
          </w:p>
        </w:tc>
        <w:tc>
          <w:tcPr>
            <w:tcW w:w="2521" w:type="pct"/>
            <w:vAlign w:val="center"/>
          </w:tcPr>
          <w:p w14:paraId="1464B039">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防止触及带电零件的保护</w:t>
            </w:r>
          </w:p>
        </w:tc>
        <w:tc>
          <w:tcPr>
            <w:tcW w:w="1785" w:type="pct"/>
            <w:vMerge w:val="restart"/>
            <w:vAlign w:val="center"/>
          </w:tcPr>
          <w:p w14:paraId="0BFD948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3883.1—2014</w:t>
            </w:r>
          </w:p>
          <w:p w14:paraId="08CC950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3883.201—2017</w:t>
            </w:r>
          </w:p>
        </w:tc>
      </w:tr>
      <w:tr w14:paraId="2194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7BCF31A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2</w:t>
            </w:r>
          </w:p>
        </w:tc>
        <w:tc>
          <w:tcPr>
            <w:tcW w:w="2521" w:type="pct"/>
            <w:vAlign w:val="center"/>
          </w:tcPr>
          <w:p w14:paraId="64D51FD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输入功率和电流</w:t>
            </w:r>
          </w:p>
        </w:tc>
        <w:tc>
          <w:tcPr>
            <w:tcW w:w="1785" w:type="pct"/>
            <w:vMerge w:val="continue"/>
            <w:vAlign w:val="center"/>
          </w:tcPr>
          <w:p w14:paraId="76FB0190">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702B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4CB82C1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3</w:t>
            </w:r>
          </w:p>
        </w:tc>
        <w:tc>
          <w:tcPr>
            <w:tcW w:w="2521" w:type="pct"/>
            <w:vAlign w:val="center"/>
          </w:tcPr>
          <w:p w14:paraId="61094B1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发热</w:t>
            </w:r>
          </w:p>
        </w:tc>
        <w:tc>
          <w:tcPr>
            <w:tcW w:w="1785" w:type="pct"/>
            <w:vMerge w:val="continue"/>
            <w:vAlign w:val="center"/>
          </w:tcPr>
          <w:p w14:paraId="36255FBE">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67E7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773B7EE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4</w:t>
            </w:r>
          </w:p>
        </w:tc>
        <w:tc>
          <w:tcPr>
            <w:tcW w:w="2521" w:type="pct"/>
            <w:vAlign w:val="center"/>
          </w:tcPr>
          <w:p w14:paraId="5C097F4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泄漏电流</w:t>
            </w:r>
          </w:p>
        </w:tc>
        <w:tc>
          <w:tcPr>
            <w:tcW w:w="1785" w:type="pct"/>
            <w:vMerge w:val="continue"/>
            <w:vAlign w:val="center"/>
          </w:tcPr>
          <w:p w14:paraId="188DAA8A">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1464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6DF371B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5</w:t>
            </w:r>
          </w:p>
        </w:tc>
        <w:tc>
          <w:tcPr>
            <w:tcW w:w="2521" w:type="pct"/>
            <w:vAlign w:val="center"/>
          </w:tcPr>
          <w:p w14:paraId="1D2ABC5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电气强度</w:t>
            </w:r>
          </w:p>
        </w:tc>
        <w:tc>
          <w:tcPr>
            <w:tcW w:w="1785" w:type="pct"/>
            <w:vMerge w:val="continue"/>
            <w:vAlign w:val="center"/>
          </w:tcPr>
          <w:p w14:paraId="726FF8E8">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4549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3F2ABF9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6</w:t>
            </w:r>
          </w:p>
        </w:tc>
        <w:tc>
          <w:tcPr>
            <w:tcW w:w="2521" w:type="pct"/>
            <w:vAlign w:val="center"/>
          </w:tcPr>
          <w:p w14:paraId="2347E02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不正常操作</w:t>
            </w:r>
          </w:p>
        </w:tc>
        <w:tc>
          <w:tcPr>
            <w:tcW w:w="1785" w:type="pct"/>
            <w:vMerge w:val="continue"/>
            <w:vAlign w:val="center"/>
          </w:tcPr>
          <w:p w14:paraId="452BA3E1">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6F35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44DEBE6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7</w:t>
            </w:r>
          </w:p>
        </w:tc>
        <w:tc>
          <w:tcPr>
            <w:tcW w:w="2521" w:type="pct"/>
            <w:vAlign w:val="center"/>
          </w:tcPr>
          <w:p w14:paraId="0169FEC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机械危险</w:t>
            </w:r>
          </w:p>
        </w:tc>
        <w:tc>
          <w:tcPr>
            <w:tcW w:w="1785" w:type="pct"/>
            <w:vMerge w:val="continue"/>
            <w:vAlign w:val="center"/>
          </w:tcPr>
          <w:p w14:paraId="28DC41C5">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6CD0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1F2381C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8</w:t>
            </w:r>
          </w:p>
        </w:tc>
        <w:tc>
          <w:tcPr>
            <w:tcW w:w="2521" w:type="pct"/>
            <w:vAlign w:val="center"/>
          </w:tcPr>
          <w:p w14:paraId="5AE8972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机械强度</w:t>
            </w:r>
          </w:p>
        </w:tc>
        <w:tc>
          <w:tcPr>
            <w:tcW w:w="1785" w:type="pct"/>
            <w:vMerge w:val="continue"/>
            <w:vAlign w:val="center"/>
          </w:tcPr>
          <w:p w14:paraId="60ACC34A">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63F21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0AFC95E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9</w:t>
            </w:r>
          </w:p>
        </w:tc>
        <w:tc>
          <w:tcPr>
            <w:tcW w:w="2521" w:type="pct"/>
            <w:vAlign w:val="center"/>
          </w:tcPr>
          <w:p w14:paraId="2CCE395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结构</w:t>
            </w:r>
          </w:p>
        </w:tc>
        <w:tc>
          <w:tcPr>
            <w:tcW w:w="1785" w:type="pct"/>
            <w:vMerge w:val="continue"/>
            <w:vAlign w:val="center"/>
          </w:tcPr>
          <w:p w14:paraId="6867FCAA">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2D3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2DC6D86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10</w:t>
            </w:r>
          </w:p>
        </w:tc>
        <w:tc>
          <w:tcPr>
            <w:tcW w:w="2521" w:type="pct"/>
            <w:vAlign w:val="center"/>
          </w:tcPr>
          <w:p w14:paraId="51340D2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内部布线</w:t>
            </w:r>
          </w:p>
        </w:tc>
        <w:tc>
          <w:tcPr>
            <w:tcW w:w="1785" w:type="pct"/>
            <w:vMerge w:val="continue"/>
            <w:vAlign w:val="center"/>
          </w:tcPr>
          <w:p w14:paraId="234AAB77">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75B4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021B31C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11</w:t>
            </w:r>
          </w:p>
        </w:tc>
        <w:tc>
          <w:tcPr>
            <w:tcW w:w="2521" w:type="pct"/>
            <w:vAlign w:val="center"/>
          </w:tcPr>
          <w:p w14:paraId="4E2249D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电源联接和外接软线</w:t>
            </w:r>
          </w:p>
        </w:tc>
        <w:tc>
          <w:tcPr>
            <w:tcW w:w="1785" w:type="pct"/>
            <w:vMerge w:val="continue"/>
            <w:vAlign w:val="center"/>
          </w:tcPr>
          <w:p w14:paraId="7D1B0750">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2F57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2716B4C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12</w:t>
            </w:r>
          </w:p>
        </w:tc>
        <w:tc>
          <w:tcPr>
            <w:tcW w:w="2521" w:type="pct"/>
            <w:vAlign w:val="center"/>
          </w:tcPr>
          <w:p w14:paraId="6CE3023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接地装置</w:t>
            </w:r>
          </w:p>
        </w:tc>
        <w:tc>
          <w:tcPr>
            <w:tcW w:w="1785" w:type="pct"/>
            <w:vMerge w:val="continue"/>
            <w:vAlign w:val="center"/>
          </w:tcPr>
          <w:p w14:paraId="053E5919">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778F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7AF1307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13</w:t>
            </w:r>
          </w:p>
        </w:tc>
        <w:tc>
          <w:tcPr>
            <w:tcW w:w="2521" w:type="pct"/>
            <w:vAlign w:val="center"/>
          </w:tcPr>
          <w:p w14:paraId="755CE69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爬电距离、电气间隙和绝缘穿通距离</w:t>
            </w:r>
          </w:p>
        </w:tc>
        <w:tc>
          <w:tcPr>
            <w:tcW w:w="1785" w:type="pct"/>
            <w:vMerge w:val="continue"/>
            <w:vAlign w:val="center"/>
          </w:tcPr>
          <w:p w14:paraId="796B7A2C">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s="仿宋_GB2312"/>
                <w:sz w:val="28"/>
                <w:szCs w:val="28"/>
              </w:rPr>
            </w:pPr>
          </w:p>
        </w:tc>
      </w:tr>
      <w:tr w14:paraId="3EDE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36D366B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14</w:t>
            </w:r>
          </w:p>
        </w:tc>
        <w:tc>
          <w:tcPr>
            <w:tcW w:w="2521" w:type="pct"/>
            <w:vAlign w:val="center"/>
          </w:tcPr>
          <w:p w14:paraId="261BA00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端子骚扰电压（连续骚扰）</w:t>
            </w:r>
          </w:p>
        </w:tc>
        <w:tc>
          <w:tcPr>
            <w:tcW w:w="1785" w:type="pct"/>
            <w:vMerge w:val="restart"/>
            <w:vAlign w:val="center"/>
          </w:tcPr>
          <w:p w14:paraId="1C20C1F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4343.1—2018</w:t>
            </w:r>
          </w:p>
          <w:p w14:paraId="7A309F9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4343.1—2024</w:t>
            </w:r>
          </w:p>
        </w:tc>
      </w:tr>
      <w:tr w14:paraId="5392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2" w:type="pct"/>
            <w:vAlign w:val="center"/>
          </w:tcPr>
          <w:p w14:paraId="34AADAD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15</w:t>
            </w:r>
          </w:p>
        </w:tc>
        <w:tc>
          <w:tcPr>
            <w:tcW w:w="2521" w:type="pct"/>
            <w:vAlign w:val="center"/>
          </w:tcPr>
          <w:p w14:paraId="6F2781C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骚扰功率、辐射骚扰</w:t>
            </w:r>
          </w:p>
        </w:tc>
        <w:tc>
          <w:tcPr>
            <w:tcW w:w="1785" w:type="pct"/>
            <w:vMerge w:val="continue"/>
            <w:vAlign w:val="center"/>
          </w:tcPr>
          <w:p w14:paraId="0FBA6DA6">
            <w:pPr>
              <w:keepNext w:val="0"/>
              <w:keepLines w:val="0"/>
              <w:pageBreakBefore w:val="0"/>
              <w:widowControl w:val="0"/>
              <w:kinsoku/>
              <w:wordWrap/>
              <w:overflowPunct/>
              <w:topLinePunct w:val="0"/>
              <w:autoSpaceDE/>
              <w:autoSpaceDN/>
              <w:bidi w:val="0"/>
              <w:adjustRightInd w:val="0"/>
              <w:spacing w:line="560" w:lineRule="exact"/>
              <w:jc w:val="center"/>
              <w:textAlignment w:val="auto"/>
              <w:rPr>
                <w:rFonts w:eastAsia="仿宋_GB2312"/>
                <w:color w:val="000000"/>
                <w:szCs w:val="21"/>
              </w:rPr>
            </w:pPr>
          </w:p>
        </w:tc>
      </w:tr>
    </w:tbl>
    <w:p w14:paraId="3FDA697A">
      <w:pPr>
        <w:keepNext w:val="0"/>
        <w:keepLines w:val="0"/>
        <w:pageBreakBefore w:val="0"/>
        <w:widowControl w:val="0"/>
        <w:kinsoku/>
        <w:wordWrap/>
        <w:overflowPunct/>
        <w:topLinePunct w:val="0"/>
        <w:autoSpaceDN/>
        <w:bidi w:val="0"/>
        <w:adjustRightInd/>
        <w:snapToGrid/>
        <w:spacing w:line="560" w:lineRule="exact"/>
        <w:jc w:val="center"/>
        <w:textAlignment w:val="auto"/>
        <w:rPr>
          <w:rFonts w:hint="default" w:ascii="Times New Roman" w:hAnsi="Times New Roman" w:eastAsia="仿宋_GB2312" w:cs="仿宋_GB2312"/>
          <w:sz w:val="32"/>
          <w:szCs w:val="40"/>
          <w:lang w:val="en-US" w:eastAsia="zh-CN"/>
        </w:rPr>
      </w:pPr>
      <w:r>
        <w:rPr>
          <w:rFonts w:hint="eastAsia" w:ascii="Times New Roman" w:hAnsi="Times New Roman" w:cs="仿宋_GB2312"/>
          <w:sz w:val="32"/>
          <w:szCs w:val="40"/>
          <w:lang w:val="en-US" w:eastAsia="zh-CN"/>
        </w:rPr>
        <w:t>表2 电锤检验项目</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9"/>
        <w:gridCol w:w="4496"/>
        <w:gridCol w:w="3301"/>
      </w:tblGrid>
      <w:tr w14:paraId="71BF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90C63D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序号</w:t>
            </w:r>
          </w:p>
        </w:tc>
        <w:tc>
          <w:tcPr>
            <w:tcW w:w="2482" w:type="pct"/>
            <w:vAlign w:val="center"/>
          </w:tcPr>
          <w:p w14:paraId="103D94F9">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检验项目</w:t>
            </w:r>
          </w:p>
        </w:tc>
        <w:tc>
          <w:tcPr>
            <w:tcW w:w="1822" w:type="pct"/>
            <w:vAlign w:val="center"/>
          </w:tcPr>
          <w:p w14:paraId="55000AD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检验方法</w:t>
            </w:r>
          </w:p>
        </w:tc>
      </w:tr>
      <w:tr w14:paraId="3AF7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E8AD59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w:t>
            </w:r>
          </w:p>
        </w:tc>
        <w:tc>
          <w:tcPr>
            <w:tcW w:w="2482" w:type="pct"/>
            <w:vAlign w:val="center"/>
          </w:tcPr>
          <w:p w14:paraId="49FB35A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防止触及带电零件的保护</w:t>
            </w:r>
          </w:p>
        </w:tc>
        <w:tc>
          <w:tcPr>
            <w:tcW w:w="1822" w:type="pct"/>
            <w:vMerge w:val="restart"/>
            <w:vAlign w:val="center"/>
          </w:tcPr>
          <w:p w14:paraId="2FC18CC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3883.1—2008</w:t>
            </w:r>
          </w:p>
          <w:p w14:paraId="116BF81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3883.7—2012</w:t>
            </w:r>
          </w:p>
          <w:p w14:paraId="789CE3C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3883.1—2014</w:t>
            </w:r>
          </w:p>
          <w:p w14:paraId="4CAE899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 xml:space="preserve">GB/T 3883.206—2025 </w:t>
            </w:r>
          </w:p>
          <w:p w14:paraId="62EE749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0D2C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72A1750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2</w:t>
            </w:r>
          </w:p>
        </w:tc>
        <w:tc>
          <w:tcPr>
            <w:tcW w:w="2482" w:type="pct"/>
            <w:vAlign w:val="center"/>
          </w:tcPr>
          <w:p w14:paraId="0F44E25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输入功率和电流</w:t>
            </w:r>
          </w:p>
        </w:tc>
        <w:tc>
          <w:tcPr>
            <w:tcW w:w="1822" w:type="pct"/>
            <w:vMerge w:val="continue"/>
            <w:vAlign w:val="center"/>
          </w:tcPr>
          <w:p w14:paraId="6D3DBF2C">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30AC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DEC7D1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3</w:t>
            </w:r>
          </w:p>
        </w:tc>
        <w:tc>
          <w:tcPr>
            <w:tcW w:w="2482" w:type="pct"/>
            <w:vAlign w:val="center"/>
          </w:tcPr>
          <w:p w14:paraId="3E38191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发热</w:t>
            </w:r>
          </w:p>
        </w:tc>
        <w:tc>
          <w:tcPr>
            <w:tcW w:w="1822" w:type="pct"/>
            <w:vMerge w:val="continue"/>
            <w:vAlign w:val="center"/>
          </w:tcPr>
          <w:p w14:paraId="0CFC61A8">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7F6F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8F3A59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4</w:t>
            </w:r>
          </w:p>
        </w:tc>
        <w:tc>
          <w:tcPr>
            <w:tcW w:w="2482" w:type="pct"/>
            <w:vAlign w:val="center"/>
          </w:tcPr>
          <w:p w14:paraId="3AFD97A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泄漏电流</w:t>
            </w:r>
          </w:p>
        </w:tc>
        <w:tc>
          <w:tcPr>
            <w:tcW w:w="1822" w:type="pct"/>
            <w:vMerge w:val="continue"/>
            <w:vAlign w:val="center"/>
          </w:tcPr>
          <w:p w14:paraId="3B4E26C9">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5115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3F5B8B8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5</w:t>
            </w:r>
          </w:p>
        </w:tc>
        <w:tc>
          <w:tcPr>
            <w:tcW w:w="2482" w:type="pct"/>
            <w:vAlign w:val="center"/>
          </w:tcPr>
          <w:p w14:paraId="2056B0E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电气强度</w:t>
            </w:r>
          </w:p>
        </w:tc>
        <w:tc>
          <w:tcPr>
            <w:tcW w:w="1822" w:type="pct"/>
            <w:vMerge w:val="continue"/>
            <w:vAlign w:val="center"/>
          </w:tcPr>
          <w:p w14:paraId="55FDB409">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0C24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71F472D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6</w:t>
            </w:r>
          </w:p>
        </w:tc>
        <w:tc>
          <w:tcPr>
            <w:tcW w:w="2482" w:type="pct"/>
            <w:vAlign w:val="center"/>
          </w:tcPr>
          <w:p w14:paraId="11D2DFC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不正常操作</w:t>
            </w:r>
          </w:p>
        </w:tc>
        <w:tc>
          <w:tcPr>
            <w:tcW w:w="1822" w:type="pct"/>
            <w:vMerge w:val="continue"/>
            <w:vAlign w:val="center"/>
          </w:tcPr>
          <w:p w14:paraId="2CB56157">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3EDA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AC1FB9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7</w:t>
            </w:r>
          </w:p>
        </w:tc>
        <w:tc>
          <w:tcPr>
            <w:tcW w:w="2482" w:type="pct"/>
            <w:vAlign w:val="center"/>
          </w:tcPr>
          <w:p w14:paraId="5FEBE04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机械危险</w:t>
            </w:r>
          </w:p>
        </w:tc>
        <w:tc>
          <w:tcPr>
            <w:tcW w:w="1822" w:type="pct"/>
            <w:vMerge w:val="continue"/>
            <w:vAlign w:val="center"/>
          </w:tcPr>
          <w:p w14:paraId="0918120B">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0A441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129F252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8</w:t>
            </w:r>
          </w:p>
        </w:tc>
        <w:tc>
          <w:tcPr>
            <w:tcW w:w="2482" w:type="pct"/>
            <w:vAlign w:val="center"/>
          </w:tcPr>
          <w:p w14:paraId="12AF979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机械强度</w:t>
            </w:r>
          </w:p>
        </w:tc>
        <w:tc>
          <w:tcPr>
            <w:tcW w:w="1822" w:type="pct"/>
            <w:vMerge w:val="continue"/>
            <w:vAlign w:val="center"/>
          </w:tcPr>
          <w:p w14:paraId="072262F4">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07AA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73F67DA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9</w:t>
            </w:r>
          </w:p>
        </w:tc>
        <w:tc>
          <w:tcPr>
            <w:tcW w:w="2482" w:type="pct"/>
            <w:vAlign w:val="center"/>
          </w:tcPr>
          <w:p w14:paraId="1551632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结构</w:t>
            </w:r>
          </w:p>
        </w:tc>
        <w:tc>
          <w:tcPr>
            <w:tcW w:w="1822" w:type="pct"/>
            <w:vMerge w:val="continue"/>
            <w:vAlign w:val="center"/>
          </w:tcPr>
          <w:p w14:paraId="41812E36">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0AC0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5B02A0D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10</w:t>
            </w:r>
          </w:p>
        </w:tc>
        <w:tc>
          <w:tcPr>
            <w:tcW w:w="2482" w:type="pct"/>
            <w:vAlign w:val="center"/>
          </w:tcPr>
          <w:p w14:paraId="070D3D9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内部布线</w:t>
            </w:r>
          </w:p>
        </w:tc>
        <w:tc>
          <w:tcPr>
            <w:tcW w:w="1822" w:type="pct"/>
            <w:vMerge w:val="continue"/>
            <w:vAlign w:val="center"/>
          </w:tcPr>
          <w:p w14:paraId="3075B22D">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7027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429C5D9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11</w:t>
            </w:r>
          </w:p>
        </w:tc>
        <w:tc>
          <w:tcPr>
            <w:tcW w:w="2482" w:type="pct"/>
            <w:vAlign w:val="center"/>
          </w:tcPr>
          <w:p w14:paraId="1D6D278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电源联接和外接软线</w:t>
            </w:r>
          </w:p>
        </w:tc>
        <w:tc>
          <w:tcPr>
            <w:tcW w:w="1822" w:type="pct"/>
            <w:vMerge w:val="continue"/>
            <w:vAlign w:val="center"/>
          </w:tcPr>
          <w:p w14:paraId="3DAC9218">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5928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3B1F061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12</w:t>
            </w:r>
          </w:p>
        </w:tc>
        <w:tc>
          <w:tcPr>
            <w:tcW w:w="2482" w:type="pct"/>
            <w:vAlign w:val="center"/>
          </w:tcPr>
          <w:p w14:paraId="1B80D4C9">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接地装置</w:t>
            </w:r>
          </w:p>
        </w:tc>
        <w:tc>
          <w:tcPr>
            <w:tcW w:w="1822" w:type="pct"/>
            <w:vMerge w:val="continue"/>
            <w:vAlign w:val="center"/>
          </w:tcPr>
          <w:p w14:paraId="0B57D28B">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r w14:paraId="21AE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20115BB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13</w:t>
            </w:r>
          </w:p>
        </w:tc>
        <w:tc>
          <w:tcPr>
            <w:tcW w:w="2482" w:type="pct"/>
            <w:vAlign w:val="center"/>
          </w:tcPr>
          <w:p w14:paraId="259E5A2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爬电距离、电气间隙和绝缘穿通距离</w:t>
            </w:r>
          </w:p>
        </w:tc>
        <w:tc>
          <w:tcPr>
            <w:tcW w:w="1822" w:type="pct"/>
            <w:vMerge w:val="continue"/>
            <w:vAlign w:val="center"/>
          </w:tcPr>
          <w:p w14:paraId="3010C91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6D61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08FF929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14</w:t>
            </w:r>
          </w:p>
        </w:tc>
        <w:tc>
          <w:tcPr>
            <w:tcW w:w="2482" w:type="pct"/>
            <w:vAlign w:val="center"/>
          </w:tcPr>
          <w:p w14:paraId="64F21AD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端子骚扰电压（连续骚扰）</w:t>
            </w:r>
          </w:p>
        </w:tc>
        <w:tc>
          <w:tcPr>
            <w:tcW w:w="1822" w:type="pct"/>
            <w:vMerge w:val="restart"/>
            <w:vAlign w:val="center"/>
          </w:tcPr>
          <w:p w14:paraId="506794F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4343.1—2018</w:t>
            </w:r>
          </w:p>
          <w:p w14:paraId="60F8319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4343.1—2024</w:t>
            </w:r>
          </w:p>
        </w:tc>
      </w:tr>
      <w:tr w14:paraId="4D74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pct"/>
            <w:vAlign w:val="center"/>
          </w:tcPr>
          <w:p w14:paraId="5AD7925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15</w:t>
            </w:r>
          </w:p>
        </w:tc>
        <w:tc>
          <w:tcPr>
            <w:tcW w:w="2482" w:type="pct"/>
            <w:vAlign w:val="center"/>
          </w:tcPr>
          <w:p w14:paraId="6DFE12D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骚扰功率、辐射骚扰</w:t>
            </w:r>
          </w:p>
        </w:tc>
        <w:tc>
          <w:tcPr>
            <w:tcW w:w="1822" w:type="pct"/>
            <w:vMerge w:val="continue"/>
            <w:vAlign w:val="center"/>
          </w:tcPr>
          <w:p w14:paraId="492259AC">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p>
        </w:tc>
      </w:tr>
    </w:tbl>
    <w:p w14:paraId="484DF8EF">
      <w:pPr>
        <w:keepNext w:val="0"/>
        <w:keepLines w:val="0"/>
        <w:pageBreakBefore w:val="0"/>
        <w:widowControl w:val="0"/>
        <w:kinsoku/>
        <w:wordWrap/>
        <w:overflowPunct/>
        <w:topLinePunct w:val="0"/>
        <w:autoSpaceDN/>
        <w:bidi w:val="0"/>
        <w:adjustRightInd/>
        <w:snapToGrid/>
        <w:spacing w:line="560" w:lineRule="exact"/>
        <w:jc w:val="center"/>
        <w:textAlignment w:val="auto"/>
        <w:rPr>
          <w:rFonts w:hint="default" w:ascii="Times New Roman" w:hAnsi="Times New Roman" w:eastAsia="仿宋_GB2312" w:cs="仿宋_GB2312"/>
          <w:sz w:val="32"/>
          <w:szCs w:val="40"/>
          <w:lang w:val="en-US" w:eastAsia="zh-CN"/>
        </w:rPr>
      </w:pPr>
      <w:r>
        <w:rPr>
          <w:rFonts w:hint="eastAsia" w:ascii="Times New Roman" w:hAnsi="Times New Roman" w:cs="仿宋_GB2312"/>
          <w:sz w:val="32"/>
          <w:szCs w:val="40"/>
          <w:lang w:val="en-US" w:eastAsia="zh-CN"/>
        </w:rPr>
        <w:t>表3 角向磨光机检验项目</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4554"/>
        <w:gridCol w:w="3251"/>
      </w:tblGrid>
      <w:tr w14:paraId="2361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0EFAFED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序号</w:t>
            </w:r>
          </w:p>
        </w:tc>
        <w:tc>
          <w:tcPr>
            <w:tcW w:w="2513" w:type="pct"/>
            <w:vAlign w:val="center"/>
          </w:tcPr>
          <w:p w14:paraId="6B9975C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检验项目</w:t>
            </w:r>
          </w:p>
        </w:tc>
        <w:tc>
          <w:tcPr>
            <w:tcW w:w="1794" w:type="pct"/>
            <w:vAlign w:val="center"/>
          </w:tcPr>
          <w:p w14:paraId="1093BFA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b/>
                <w:bCs/>
                <w:sz w:val="28"/>
                <w:szCs w:val="28"/>
              </w:rPr>
            </w:pPr>
            <w:r>
              <w:rPr>
                <w:rFonts w:hint="eastAsia" w:eastAsia="仿宋_GB2312" w:cs="仿宋_GB2312"/>
                <w:b/>
                <w:bCs/>
                <w:sz w:val="28"/>
                <w:szCs w:val="28"/>
              </w:rPr>
              <w:t>检验方法</w:t>
            </w:r>
          </w:p>
        </w:tc>
      </w:tr>
      <w:tr w14:paraId="5DC1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A655DC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w:t>
            </w:r>
          </w:p>
        </w:tc>
        <w:tc>
          <w:tcPr>
            <w:tcW w:w="2513" w:type="pct"/>
            <w:vAlign w:val="center"/>
          </w:tcPr>
          <w:p w14:paraId="7223FA4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防止触及带电零件的保护</w:t>
            </w:r>
          </w:p>
        </w:tc>
        <w:tc>
          <w:tcPr>
            <w:tcW w:w="1794" w:type="pct"/>
            <w:vMerge w:val="restart"/>
            <w:vAlign w:val="center"/>
          </w:tcPr>
          <w:p w14:paraId="3FC4E13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3883.1—2005</w:t>
            </w:r>
          </w:p>
          <w:p w14:paraId="5F7F68E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3883.3—2007</w:t>
            </w:r>
          </w:p>
          <w:p w14:paraId="0A44495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GB/T 3883.1—2014</w:t>
            </w:r>
          </w:p>
          <w:p w14:paraId="3548D35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 xml:space="preserve">GB/T 3883.203—2025 </w:t>
            </w:r>
          </w:p>
          <w:p w14:paraId="461F3CA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p w14:paraId="4BBF1FE9">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42B2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B9E5FF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2</w:t>
            </w:r>
          </w:p>
        </w:tc>
        <w:tc>
          <w:tcPr>
            <w:tcW w:w="2513" w:type="pct"/>
            <w:vAlign w:val="center"/>
          </w:tcPr>
          <w:p w14:paraId="48A467B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输入功率和电流</w:t>
            </w:r>
          </w:p>
        </w:tc>
        <w:tc>
          <w:tcPr>
            <w:tcW w:w="1794" w:type="pct"/>
            <w:vMerge w:val="continue"/>
            <w:vAlign w:val="center"/>
          </w:tcPr>
          <w:p w14:paraId="076EEF4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0BB4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2E8DC1A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3</w:t>
            </w:r>
          </w:p>
        </w:tc>
        <w:tc>
          <w:tcPr>
            <w:tcW w:w="2513" w:type="pct"/>
            <w:vAlign w:val="center"/>
          </w:tcPr>
          <w:p w14:paraId="5BECD3B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发热</w:t>
            </w:r>
          </w:p>
        </w:tc>
        <w:tc>
          <w:tcPr>
            <w:tcW w:w="1794" w:type="pct"/>
            <w:vMerge w:val="continue"/>
            <w:vAlign w:val="center"/>
          </w:tcPr>
          <w:p w14:paraId="2E156BE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5596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14141C8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4</w:t>
            </w:r>
          </w:p>
        </w:tc>
        <w:tc>
          <w:tcPr>
            <w:tcW w:w="2513" w:type="pct"/>
            <w:vAlign w:val="center"/>
          </w:tcPr>
          <w:p w14:paraId="6DAF9F4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泄漏电流</w:t>
            </w:r>
          </w:p>
        </w:tc>
        <w:tc>
          <w:tcPr>
            <w:tcW w:w="1794" w:type="pct"/>
            <w:vMerge w:val="continue"/>
            <w:vAlign w:val="center"/>
          </w:tcPr>
          <w:p w14:paraId="3837940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77CF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79DB49E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5</w:t>
            </w:r>
          </w:p>
        </w:tc>
        <w:tc>
          <w:tcPr>
            <w:tcW w:w="2513" w:type="pct"/>
            <w:vAlign w:val="center"/>
          </w:tcPr>
          <w:p w14:paraId="2E3B844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电气强度</w:t>
            </w:r>
          </w:p>
        </w:tc>
        <w:tc>
          <w:tcPr>
            <w:tcW w:w="1794" w:type="pct"/>
            <w:vMerge w:val="continue"/>
            <w:vAlign w:val="center"/>
          </w:tcPr>
          <w:p w14:paraId="4AB975F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1F23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70AD2FA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6</w:t>
            </w:r>
          </w:p>
        </w:tc>
        <w:tc>
          <w:tcPr>
            <w:tcW w:w="2513" w:type="pct"/>
            <w:vAlign w:val="center"/>
          </w:tcPr>
          <w:p w14:paraId="4FE2CE74">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不正常操作</w:t>
            </w:r>
          </w:p>
        </w:tc>
        <w:tc>
          <w:tcPr>
            <w:tcW w:w="1794" w:type="pct"/>
            <w:vMerge w:val="continue"/>
            <w:vAlign w:val="center"/>
          </w:tcPr>
          <w:p w14:paraId="42F9E94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3D101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0918714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7</w:t>
            </w:r>
          </w:p>
        </w:tc>
        <w:tc>
          <w:tcPr>
            <w:tcW w:w="2513" w:type="pct"/>
            <w:vAlign w:val="center"/>
          </w:tcPr>
          <w:p w14:paraId="09723EB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机械危险</w:t>
            </w:r>
          </w:p>
        </w:tc>
        <w:tc>
          <w:tcPr>
            <w:tcW w:w="1794" w:type="pct"/>
            <w:vMerge w:val="continue"/>
            <w:vAlign w:val="center"/>
          </w:tcPr>
          <w:p w14:paraId="25401A5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61BA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3A9A82D">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8</w:t>
            </w:r>
          </w:p>
        </w:tc>
        <w:tc>
          <w:tcPr>
            <w:tcW w:w="2513" w:type="pct"/>
            <w:vAlign w:val="center"/>
          </w:tcPr>
          <w:p w14:paraId="04064CC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机械强度</w:t>
            </w:r>
          </w:p>
        </w:tc>
        <w:tc>
          <w:tcPr>
            <w:tcW w:w="1794" w:type="pct"/>
            <w:vMerge w:val="continue"/>
            <w:vAlign w:val="center"/>
          </w:tcPr>
          <w:p w14:paraId="7E1555E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2488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52D5776">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9</w:t>
            </w:r>
          </w:p>
        </w:tc>
        <w:tc>
          <w:tcPr>
            <w:tcW w:w="2513" w:type="pct"/>
            <w:vAlign w:val="center"/>
          </w:tcPr>
          <w:p w14:paraId="093AF3FB">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结构</w:t>
            </w:r>
          </w:p>
        </w:tc>
        <w:tc>
          <w:tcPr>
            <w:tcW w:w="1794" w:type="pct"/>
            <w:vMerge w:val="continue"/>
            <w:vAlign w:val="center"/>
          </w:tcPr>
          <w:p w14:paraId="73319BE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0259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F9D060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10</w:t>
            </w:r>
          </w:p>
        </w:tc>
        <w:tc>
          <w:tcPr>
            <w:tcW w:w="2513" w:type="pct"/>
            <w:vAlign w:val="center"/>
          </w:tcPr>
          <w:p w14:paraId="5FB5EC5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内部布线</w:t>
            </w:r>
          </w:p>
        </w:tc>
        <w:tc>
          <w:tcPr>
            <w:tcW w:w="1794" w:type="pct"/>
            <w:vMerge w:val="continue"/>
            <w:vAlign w:val="center"/>
          </w:tcPr>
          <w:p w14:paraId="752C8BB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525A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57C65E08">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11</w:t>
            </w:r>
          </w:p>
        </w:tc>
        <w:tc>
          <w:tcPr>
            <w:tcW w:w="2513" w:type="pct"/>
            <w:vAlign w:val="center"/>
          </w:tcPr>
          <w:p w14:paraId="0D75A77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电源联接和外接软线</w:t>
            </w:r>
          </w:p>
        </w:tc>
        <w:tc>
          <w:tcPr>
            <w:tcW w:w="1794" w:type="pct"/>
            <w:vMerge w:val="continue"/>
            <w:vAlign w:val="center"/>
          </w:tcPr>
          <w:p w14:paraId="2763529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6B69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3229BEA1">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12</w:t>
            </w:r>
          </w:p>
        </w:tc>
        <w:tc>
          <w:tcPr>
            <w:tcW w:w="2513" w:type="pct"/>
            <w:vAlign w:val="center"/>
          </w:tcPr>
          <w:p w14:paraId="7B8BAAFF">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接地装置</w:t>
            </w:r>
          </w:p>
        </w:tc>
        <w:tc>
          <w:tcPr>
            <w:tcW w:w="1794" w:type="pct"/>
            <w:vMerge w:val="continue"/>
            <w:vAlign w:val="center"/>
          </w:tcPr>
          <w:p w14:paraId="3A43C535">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721F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1184A34C">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13</w:t>
            </w:r>
          </w:p>
        </w:tc>
        <w:tc>
          <w:tcPr>
            <w:tcW w:w="2513" w:type="pct"/>
            <w:vAlign w:val="center"/>
          </w:tcPr>
          <w:p w14:paraId="021A5DF3">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爬电距离、电气间隙和绝缘穿通距离</w:t>
            </w:r>
          </w:p>
        </w:tc>
        <w:tc>
          <w:tcPr>
            <w:tcW w:w="1794" w:type="pct"/>
            <w:vMerge w:val="continue"/>
            <w:vAlign w:val="center"/>
          </w:tcPr>
          <w:p w14:paraId="3E595257">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p>
        </w:tc>
      </w:tr>
      <w:tr w14:paraId="7C40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2E18B30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14</w:t>
            </w:r>
          </w:p>
        </w:tc>
        <w:tc>
          <w:tcPr>
            <w:tcW w:w="2513" w:type="pct"/>
            <w:vAlign w:val="center"/>
          </w:tcPr>
          <w:p w14:paraId="4CFA26E0">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端子骚扰电压（连续骚扰）</w:t>
            </w:r>
          </w:p>
        </w:tc>
        <w:tc>
          <w:tcPr>
            <w:tcW w:w="1794" w:type="pct"/>
            <w:vMerge w:val="restart"/>
            <w:vAlign w:val="center"/>
          </w:tcPr>
          <w:p w14:paraId="4FD09D1E">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4343.1—2018</w:t>
            </w:r>
          </w:p>
          <w:p w14:paraId="44D7E142">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GB 4343.1—2024</w:t>
            </w:r>
          </w:p>
        </w:tc>
      </w:tr>
      <w:tr w14:paraId="1485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pct"/>
            <w:vAlign w:val="center"/>
          </w:tcPr>
          <w:p w14:paraId="620DF17A">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eastAsia="仿宋_GB2312"/>
                <w:color w:val="000000"/>
                <w:szCs w:val="21"/>
              </w:rPr>
            </w:pPr>
            <w:r>
              <w:rPr>
                <w:rFonts w:hint="eastAsia" w:eastAsia="仿宋_GB2312"/>
                <w:color w:val="000000"/>
                <w:szCs w:val="21"/>
              </w:rPr>
              <w:t>15</w:t>
            </w:r>
          </w:p>
        </w:tc>
        <w:tc>
          <w:tcPr>
            <w:tcW w:w="2513" w:type="pct"/>
            <w:vAlign w:val="center"/>
          </w:tcPr>
          <w:p w14:paraId="2CE9934A">
            <w:pPr>
              <w:keepNext w:val="0"/>
              <w:keepLines w:val="0"/>
              <w:pageBreakBefore w:val="0"/>
              <w:widowControl w:val="0"/>
              <w:kinsoku/>
              <w:wordWrap/>
              <w:overflowPunct/>
              <w:topLinePunct w:val="0"/>
              <w:autoSpaceDE/>
              <w:autoSpaceDN/>
              <w:bidi w:val="0"/>
              <w:spacing w:line="560" w:lineRule="exact"/>
              <w:jc w:val="center"/>
              <w:textAlignment w:val="auto"/>
              <w:rPr>
                <w:rFonts w:hint="eastAsia" w:eastAsia="仿宋_GB2312" w:cs="仿宋_GB2312"/>
                <w:sz w:val="28"/>
                <w:szCs w:val="28"/>
              </w:rPr>
            </w:pPr>
            <w:r>
              <w:rPr>
                <w:rFonts w:hint="eastAsia" w:eastAsia="仿宋_GB2312" w:cs="仿宋_GB2312"/>
                <w:sz w:val="28"/>
                <w:szCs w:val="28"/>
              </w:rPr>
              <w:t>骚扰功率、辐射骚扰</w:t>
            </w:r>
          </w:p>
        </w:tc>
        <w:tc>
          <w:tcPr>
            <w:tcW w:w="1794" w:type="pct"/>
            <w:vMerge w:val="continue"/>
            <w:vAlign w:val="center"/>
          </w:tcPr>
          <w:p w14:paraId="6BC59D46">
            <w:pPr>
              <w:keepNext w:val="0"/>
              <w:keepLines w:val="0"/>
              <w:pageBreakBefore w:val="0"/>
              <w:widowControl w:val="0"/>
              <w:kinsoku/>
              <w:wordWrap/>
              <w:overflowPunct/>
              <w:topLinePunct w:val="0"/>
              <w:autoSpaceDE/>
              <w:autoSpaceDN/>
              <w:bidi w:val="0"/>
              <w:adjustRightInd w:val="0"/>
              <w:spacing w:line="560" w:lineRule="exact"/>
              <w:jc w:val="center"/>
              <w:textAlignment w:val="auto"/>
              <w:rPr>
                <w:rFonts w:eastAsia="仿宋_GB2312"/>
                <w:color w:val="000000"/>
                <w:szCs w:val="21"/>
              </w:rPr>
            </w:pPr>
          </w:p>
        </w:tc>
      </w:tr>
    </w:tbl>
    <w:p w14:paraId="1D44E183">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执行企业标准、团体标准、地方标准的产品，检验项目参照上述内容执行。</w:t>
      </w:r>
    </w:p>
    <w:p w14:paraId="3BD382B7">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仿宋_GB2312" w:cs="Times New Roman"/>
          <w:sz w:val="32"/>
          <w:szCs w:val="32"/>
        </w:rPr>
      </w:pPr>
      <w:r>
        <w:rPr>
          <w:rFonts w:hint="eastAsia" w:ascii="Times New Roman" w:hAnsi="Times New Roman" w:eastAsia="仿宋_GB2312" w:cs="仿宋_GB2312"/>
          <w:sz w:val="32"/>
          <w:szCs w:val="40"/>
        </w:rPr>
        <w:t>凡是注日期的文件，其随后所有的修改单（不包括勘误的内容）或修订版不适用于本细则。凡是不注日期的文件，其最新版本适用于本细则。</w:t>
      </w:r>
    </w:p>
    <w:p w14:paraId="1791081F">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黑体" w:cs="黑体"/>
          <w:sz w:val="32"/>
          <w:szCs w:val="40"/>
        </w:rPr>
      </w:pPr>
      <w:r>
        <w:rPr>
          <w:rFonts w:ascii="Times New Roman" w:hAnsi="Times New Roman" w:eastAsia="黑体" w:cs="黑体"/>
          <w:sz w:val="32"/>
          <w:szCs w:val="40"/>
        </w:rPr>
        <w:t xml:space="preserve">3 </w:t>
      </w:r>
      <w:r>
        <w:rPr>
          <w:rFonts w:hint="eastAsia" w:ascii="Times New Roman" w:hAnsi="Times New Roman" w:eastAsia="黑体" w:cs="黑体"/>
          <w:sz w:val="32"/>
          <w:szCs w:val="40"/>
        </w:rPr>
        <w:t>判定规则</w:t>
      </w:r>
    </w:p>
    <w:p w14:paraId="6C42F560">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楷体_GB2312" w:cs="楷体_GB2312"/>
          <w:sz w:val="32"/>
          <w:szCs w:val="40"/>
        </w:rPr>
      </w:pPr>
      <w:r>
        <w:rPr>
          <w:rFonts w:hint="eastAsia" w:ascii="Times New Roman" w:hAnsi="Times New Roman" w:eastAsia="楷体_GB2312" w:cs="楷体_GB2312"/>
          <w:sz w:val="32"/>
          <w:szCs w:val="40"/>
        </w:rPr>
        <w:t>3.1 依据标准</w:t>
      </w:r>
    </w:p>
    <w:p w14:paraId="6617D480">
      <w:pPr>
        <w:keepNext w:val="0"/>
        <w:keepLines w:val="0"/>
        <w:pageBreakBefore w:val="0"/>
        <w:widowControl w:val="0"/>
        <w:kinsoku/>
        <w:wordWrap/>
        <w:overflowPunct/>
        <w:topLinePunct w:val="0"/>
        <w:autoSpaceDN/>
        <w:bidi w:val="0"/>
        <w:adjustRightInd/>
        <w:snapToGrid/>
        <w:spacing w:line="560" w:lineRule="exact"/>
        <w:ind w:firstLine="608" w:firstLineChars="200"/>
        <w:textAlignment w:val="auto"/>
        <w:rPr>
          <w:rFonts w:hint="eastAsia" w:ascii="Times New Roman" w:hAnsi="Times New Roman" w:eastAsia="仿宋_GB2312" w:cs="仿宋_GB2312"/>
          <w:spacing w:val="-6"/>
          <w:sz w:val="32"/>
          <w:szCs w:val="40"/>
        </w:rPr>
      </w:pPr>
      <w:r>
        <w:rPr>
          <w:rFonts w:hint="eastAsia" w:ascii="Times New Roman" w:hAnsi="Times New Roman" w:eastAsia="仿宋_GB2312" w:cs="仿宋_GB2312"/>
          <w:spacing w:val="-6"/>
          <w:sz w:val="32"/>
          <w:szCs w:val="40"/>
        </w:rPr>
        <w:t>GB 3883.1—2005 手持式电动工具的安全 第一部分：通用要求</w:t>
      </w:r>
    </w:p>
    <w:p w14:paraId="59BC9BDE">
      <w:pPr>
        <w:keepNext w:val="0"/>
        <w:keepLines w:val="0"/>
        <w:pageBreakBefore w:val="0"/>
        <w:widowControl w:val="0"/>
        <w:kinsoku/>
        <w:wordWrap/>
        <w:overflowPunct/>
        <w:topLinePunct w:val="0"/>
        <w:autoSpaceDN/>
        <w:bidi w:val="0"/>
        <w:adjustRightInd/>
        <w:snapToGrid/>
        <w:spacing w:line="560" w:lineRule="exact"/>
        <w:ind w:firstLine="608" w:firstLineChars="200"/>
        <w:textAlignment w:val="auto"/>
        <w:rPr>
          <w:rFonts w:hint="eastAsia" w:ascii="Times New Roman" w:hAnsi="Times New Roman" w:eastAsia="仿宋_GB2312" w:cs="仿宋_GB2312"/>
          <w:spacing w:val="-6"/>
          <w:sz w:val="32"/>
          <w:szCs w:val="40"/>
        </w:rPr>
      </w:pPr>
      <w:r>
        <w:rPr>
          <w:rFonts w:hint="eastAsia" w:ascii="Times New Roman" w:hAnsi="Times New Roman" w:eastAsia="仿宋_GB2312" w:cs="仿宋_GB2312"/>
          <w:spacing w:val="-6"/>
          <w:sz w:val="32"/>
          <w:szCs w:val="40"/>
        </w:rPr>
        <w:t>GB 3883.1—2008 手持式电动工具的安全 第一部分：通用要求</w:t>
      </w:r>
    </w:p>
    <w:p w14:paraId="521996A8">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 4343.1—2018 家用电器、电动工具和类似器具的电磁兼容要求  第1部分：发射</w:t>
      </w:r>
    </w:p>
    <w:p w14:paraId="3870EAC9">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 4343.1—2024 家用电器、电动工具和类似器具的电磁兼容要求  第1部分：发射</w:t>
      </w:r>
    </w:p>
    <w:p w14:paraId="467AC73B">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GB/T 3883.1—2014 手持式、可移式电动工具和园林工具的安全 第1部分：通用要求</w:t>
      </w:r>
    </w:p>
    <w:p w14:paraId="654C9E2A">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GB/T 3883.3—2007 手持式电动工具的安全 第二部分：砂轮机、抛光机和盘式砂光机的专用要求</w:t>
      </w:r>
    </w:p>
    <w:p w14:paraId="64063924">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GB/T 3883.7—2012 手持式电动工具的安全 第2部分：锤类工具的专用要求</w:t>
      </w:r>
    </w:p>
    <w:p w14:paraId="31DB7847">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GB/T 3883.201—2017 手持式、可移式电动工具和园林工具的安全 第2部分：电钻和冲击电钻的专用要求</w:t>
      </w:r>
    </w:p>
    <w:p w14:paraId="51528E61">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 xml:space="preserve">GB/T 3883.203—2025 手持式、可移式电动工具和园林工具的安全 第203部分：手持式砂轮机、盘式抛光机和盘式砂光机的专用要求 </w:t>
      </w:r>
    </w:p>
    <w:p w14:paraId="3D14F1F1">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GB/T 3883.206—2025 手持式、可移式电动工具和园林工具的安全 第206部分：手持式锤类工具的专用要求</w:t>
      </w:r>
    </w:p>
    <w:p w14:paraId="00BA84BA">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仿宋_GB2312" w:cs="仿宋_GB2312"/>
          <w:sz w:val="32"/>
          <w:szCs w:val="40"/>
        </w:rPr>
      </w:pPr>
      <w:r>
        <w:rPr>
          <w:rFonts w:hint="eastAsia" w:ascii="Times New Roman" w:hAnsi="Times New Roman" w:eastAsia="仿宋_GB2312" w:cs="仿宋_GB2312"/>
          <w:sz w:val="32"/>
          <w:szCs w:val="40"/>
        </w:rPr>
        <w:t>现行有效的企业标准、团体标准、地方标准及产品明示质量要求</w:t>
      </w:r>
    </w:p>
    <w:p w14:paraId="5E3C551F">
      <w:pPr>
        <w:keepNext w:val="0"/>
        <w:keepLines w:val="0"/>
        <w:pageBreakBefore w:val="0"/>
        <w:widowControl w:val="0"/>
        <w:kinsoku/>
        <w:wordWrap/>
        <w:overflowPunct/>
        <w:topLinePunct w:val="0"/>
        <w:autoSpaceDN/>
        <w:bidi w:val="0"/>
        <w:adjustRightInd/>
        <w:snapToGrid/>
        <w:spacing w:line="560" w:lineRule="exact"/>
        <w:ind w:firstLine="632" w:firstLineChars="200"/>
        <w:textAlignment w:val="auto"/>
        <w:rPr>
          <w:rFonts w:ascii="Times New Roman" w:hAnsi="Times New Roman" w:eastAsia="楷体_GB2312" w:cs="楷体_GB2312"/>
          <w:sz w:val="32"/>
          <w:szCs w:val="40"/>
        </w:rPr>
      </w:pPr>
      <w:r>
        <w:rPr>
          <w:rFonts w:hint="eastAsia" w:ascii="Times New Roman" w:hAnsi="Times New Roman" w:eastAsia="楷体_GB2312" w:cs="楷体_GB2312"/>
          <w:sz w:val="32"/>
          <w:szCs w:val="40"/>
        </w:rPr>
        <w:t>3.2 判定原则</w:t>
      </w:r>
    </w:p>
    <w:p w14:paraId="0F79842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经检验，检验项目全部合格，判定为被抽查产品所检项目未发现不合格；检验项目中任一项或一项以上不合格，判定为被抽查产品不合格。</w:t>
      </w:r>
    </w:p>
    <w:p w14:paraId="44079AB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若被检产品明示的质量要求高于本细则中检验项目依据的标准要求时，应按被检产品明示的质量要求判定。</w:t>
      </w:r>
    </w:p>
    <w:p w14:paraId="47ECDD8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若被检产品明示的质量要求低于本细则中检验项目依据的强制性标准要求时，应按照强制性标准要求判定。</w:t>
      </w:r>
    </w:p>
    <w:p w14:paraId="3A32D97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若被检产品明示的质量要求低于或包含本细则中检验项目依据的推荐性标准要求时，应以被检产品明示的质量要求判定。</w:t>
      </w:r>
    </w:p>
    <w:p w14:paraId="2769AA7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若被检产品明示的质量要求缺少本细则中检验项目依据的强制性标准要求时，应按照强制性标准要求判定。</w:t>
      </w:r>
    </w:p>
    <w:p w14:paraId="65480D3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sz w:val="32"/>
          <w:szCs w:val="40"/>
          <w:highlight w:val="none"/>
          <w:lang w:eastAsia="zh-CN"/>
        </w:rPr>
      </w:pPr>
      <w:r>
        <w:rPr>
          <w:rFonts w:hint="eastAsia" w:ascii="Times New Roman" w:hAnsi="Times New Roman" w:eastAsia="仿宋_GB2312" w:cs="仿宋_GB2312"/>
          <w:sz w:val="32"/>
          <w:szCs w:val="40"/>
        </w:rPr>
        <w:t>若被检产品明示的质量要求缺少本细则中检验项目依据的推荐性标准要求时，该项目不参与判定</w:t>
      </w:r>
      <w:r>
        <w:rPr>
          <w:rFonts w:hint="eastAsia" w:ascii="Times New Roman" w:hAnsi="Times New Roman" w:cs="仿宋_GB2312"/>
          <w:sz w:val="32"/>
          <w:szCs w:val="40"/>
          <w:highlight w:val="none"/>
          <w:lang w:eastAsia="zh-CN"/>
        </w:rPr>
        <w:t>。</w:t>
      </w:r>
    </w:p>
    <w:p w14:paraId="0BD8D8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000000"/>
        </w:rPr>
      </w:pPr>
    </w:p>
    <w:p w14:paraId="6B3DCF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000000"/>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bordersDoNotSurroundHeader w:val="1"/>
  <w:bordersDoNotSurroundFooter w:val="1"/>
  <w:gutterAtTop/>
  <w:documentProtection w:edit="readOnly" w:enforcement="0"/>
  <w:defaultTabStop w:val="425"/>
  <w:drawingGridHorizontalSpacing w:val="158"/>
  <w:drawingGridVerticalSpacing w:val="296"/>
  <w:displayHorizontalDrawingGridEvery w:val="2"/>
  <w:displayVerticalDrawingGridEvery w:val="2"/>
  <w:doNotShadeFormData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27E1964"/>
    <w:rsid w:val="05785BDD"/>
    <w:rsid w:val="07235BC1"/>
    <w:rsid w:val="084416A8"/>
    <w:rsid w:val="086E2E87"/>
    <w:rsid w:val="0D310E43"/>
    <w:rsid w:val="0FA62052"/>
    <w:rsid w:val="12A16B83"/>
    <w:rsid w:val="130138BF"/>
    <w:rsid w:val="13A0252A"/>
    <w:rsid w:val="13C96B91"/>
    <w:rsid w:val="14333E72"/>
    <w:rsid w:val="14891A12"/>
    <w:rsid w:val="16596A26"/>
    <w:rsid w:val="1A071979"/>
    <w:rsid w:val="1C853704"/>
    <w:rsid w:val="1CA13D9D"/>
    <w:rsid w:val="1D721AAC"/>
    <w:rsid w:val="1EBD7D0C"/>
    <w:rsid w:val="1ECB45A2"/>
    <w:rsid w:val="20026B23"/>
    <w:rsid w:val="219C389F"/>
    <w:rsid w:val="256E0893"/>
    <w:rsid w:val="25985147"/>
    <w:rsid w:val="273F29BF"/>
    <w:rsid w:val="274E4091"/>
    <w:rsid w:val="27FF772E"/>
    <w:rsid w:val="28826F91"/>
    <w:rsid w:val="291B4288"/>
    <w:rsid w:val="2A0D2BFE"/>
    <w:rsid w:val="2E9E75BF"/>
    <w:rsid w:val="2F174188"/>
    <w:rsid w:val="2F2458BE"/>
    <w:rsid w:val="32A33D70"/>
    <w:rsid w:val="33356A28"/>
    <w:rsid w:val="3397436B"/>
    <w:rsid w:val="37115FDB"/>
    <w:rsid w:val="3925095F"/>
    <w:rsid w:val="39456A32"/>
    <w:rsid w:val="39635633"/>
    <w:rsid w:val="3A905581"/>
    <w:rsid w:val="3B9C6372"/>
    <w:rsid w:val="3C4E2D0D"/>
    <w:rsid w:val="3C736FE9"/>
    <w:rsid w:val="3CC716DA"/>
    <w:rsid w:val="3DE87AD1"/>
    <w:rsid w:val="3F050CEA"/>
    <w:rsid w:val="404E7B72"/>
    <w:rsid w:val="423F24C0"/>
    <w:rsid w:val="42520A34"/>
    <w:rsid w:val="42AF5206"/>
    <w:rsid w:val="44096B34"/>
    <w:rsid w:val="46A2399F"/>
    <w:rsid w:val="48986765"/>
    <w:rsid w:val="4932582C"/>
    <w:rsid w:val="496D6B7A"/>
    <w:rsid w:val="4C8E7B69"/>
    <w:rsid w:val="50CB6455"/>
    <w:rsid w:val="542F126D"/>
    <w:rsid w:val="543D4F4A"/>
    <w:rsid w:val="578D5C8D"/>
    <w:rsid w:val="58826466"/>
    <w:rsid w:val="58C96821"/>
    <w:rsid w:val="59451F20"/>
    <w:rsid w:val="5D54521D"/>
    <w:rsid w:val="5E01252F"/>
    <w:rsid w:val="5E0516D4"/>
    <w:rsid w:val="5E4009F6"/>
    <w:rsid w:val="5EEB6BAD"/>
    <w:rsid w:val="5F432E56"/>
    <w:rsid w:val="62EE6255"/>
    <w:rsid w:val="63C347C1"/>
    <w:rsid w:val="64B403C4"/>
    <w:rsid w:val="65257D09"/>
    <w:rsid w:val="660B02F6"/>
    <w:rsid w:val="66705A4E"/>
    <w:rsid w:val="66757D4D"/>
    <w:rsid w:val="68AB69D7"/>
    <w:rsid w:val="69D05495"/>
    <w:rsid w:val="6BA37D93"/>
    <w:rsid w:val="6C8934D3"/>
    <w:rsid w:val="6CB24EA6"/>
    <w:rsid w:val="6CE24633"/>
    <w:rsid w:val="6D5A21D9"/>
    <w:rsid w:val="6ED16876"/>
    <w:rsid w:val="713E1180"/>
    <w:rsid w:val="735F08BF"/>
    <w:rsid w:val="73621BBF"/>
    <w:rsid w:val="74BF5CE3"/>
    <w:rsid w:val="792D5E2C"/>
    <w:rsid w:val="7A670DD8"/>
    <w:rsid w:val="7C2F522D"/>
    <w:rsid w:val="7DA24632"/>
    <w:rsid w:val="7FBB5206"/>
    <w:rsid w:val="7FCA6881"/>
    <w:rsid w:val="DCFCF86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jc w:val="center"/>
      <w:outlineLvl w:val="0"/>
    </w:pPr>
    <w:rPr>
      <w:rFonts w:ascii="方正小标宋简体" w:eastAsia="方正小标宋简体"/>
      <w:kern w:val="44"/>
      <w:sz w:val="38"/>
    </w:rPr>
  </w:style>
  <w:style w:type="paragraph" w:styleId="4">
    <w:name w:val="heading 2"/>
    <w:basedOn w:val="1"/>
    <w:next w:val="1"/>
    <w:qFormat/>
    <w:uiPriority w:val="0"/>
    <w:pPr>
      <w:keepNext/>
      <w:keepLines/>
      <w:spacing w:line="600" w:lineRule="exact"/>
      <w:outlineLvl w:val="1"/>
    </w:pPr>
    <w:rPr>
      <w:rFonts w:ascii="Arial" w:hAnsi="Arial" w:eastAsia="黑体"/>
      <w:sz w:val="30"/>
    </w:rPr>
  </w:style>
  <w:style w:type="paragraph" w:styleId="5">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6">
    <w:name w:val="Date"/>
    <w:basedOn w:val="1"/>
    <w:next w:val="1"/>
    <w:uiPriority w:val="0"/>
    <w:pPr>
      <w:spacing w:line="600" w:lineRule="exact"/>
      <w:ind w:left="4253" w:leftChars="0"/>
    </w:pPr>
    <w:rPr>
      <w:sz w:val="3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9">
    <w:name w:val="Signature"/>
    <w:basedOn w:val="1"/>
    <w:qFormat/>
    <w:uiPriority w:val="0"/>
    <w:pPr>
      <w:spacing w:line="600" w:lineRule="exact"/>
      <w:ind w:left="4253" w:leftChars="0"/>
    </w:pPr>
    <w:rPr>
      <w:sz w:val="30"/>
    </w:r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Normal_0_0"/>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5</Pages>
  <Words>1346</Words>
  <Characters>1649</Characters>
  <Lines>1</Lines>
  <Paragraphs>1</Paragraphs>
  <TotalTime>157271041</TotalTime>
  <ScaleCrop>false</ScaleCrop>
  <LinksUpToDate>false</LinksUpToDate>
  <CharactersWithSpaces>1708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2018-10-22T11:28:00Z</dcterms:created>
  <dc:creator>Administrator</dc:creator>
  <cp:lastModifiedBy>cui</cp:lastModifiedBy>
  <cp:lastPrinted>2022-06-08T10:39:00Z</cp:lastPrinted>
  <dcterms:modified xsi:type="dcterms:W3CDTF">2026-07-09T06:03:00Z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70E8FB8BC5764B62BFA26BAD3846C14D_13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