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7D097">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方正小标宋简体" w:cs="方正小标宋简体"/>
          <w:color w:val="auto"/>
          <w:sz w:val="44"/>
          <w:szCs w:val="44"/>
          <w:highlight w:val="none"/>
        </w:rPr>
      </w:pPr>
      <w:bookmarkStart w:id="0" w:name="_GoBack"/>
      <w:bookmarkEnd w:id="0"/>
      <w:r>
        <w:rPr>
          <w:rFonts w:hint="eastAsia" w:eastAsia="方正小标宋简体" w:cs="方正小标宋简体"/>
          <w:color w:val="auto"/>
          <w:sz w:val="44"/>
          <w:szCs w:val="44"/>
          <w:highlight w:val="none"/>
          <w:lang w:val="en-US" w:eastAsia="zh-CN"/>
        </w:rPr>
        <w:t>东莞市</w:t>
      </w:r>
      <w:r>
        <w:rPr>
          <w:rFonts w:hint="eastAsia" w:ascii="Times New Roman" w:hAnsi="Times New Roman" w:eastAsia="方正小标宋简体" w:cs="方正小标宋简体"/>
          <w:color w:val="auto"/>
          <w:sz w:val="44"/>
          <w:szCs w:val="44"/>
          <w:highlight w:val="none"/>
          <w:lang w:val="en-US" w:eastAsia="zh-CN"/>
        </w:rPr>
        <w:t>轨道插座</w:t>
      </w:r>
      <w:r>
        <w:rPr>
          <w:rFonts w:hint="eastAsia" w:ascii="Times New Roman" w:hAnsi="Times New Roman" w:eastAsia="方正小标宋简体" w:cs="方正小标宋简体"/>
          <w:color w:val="auto"/>
          <w:sz w:val="44"/>
          <w:szCs w:val="44"/>
          <w:highlight w:val="none"/>
        </w:rPr>
        <w:t>产品质量监督抽查实施细则</w:t>
      </w:r>
    </w:p>
    <w:p w14:paraId="4B015622">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楷体_GB2312" w:cs="楷体_GB2312"/>
          <w:color w:val="auto"/>
          <w:sz w:val="32"/>
          <w:szCs w:val="40"/>
          <w:highlight w:val="none"/>
        </w:rPr>
      </w:pPr>
      <w:r>
        <w:rPr>
          <w:rFonts w:hint="eastAsia" w:ascii="Times New Roman" w:hAnsi="Times New Roman" w:eastAsia="楷体_GB2312" w:cs="楷体_GB2312"/>
          <w:color w:val="auto"/>
          <w:sz w:val="32"/>
          <w:szCs w:val="40"/>
          <w:highlight w:val="none"/>
        </w:rPr>
        <w:t>（202</w:t>
      </w:r>
      <w:r>
        <w:rPr>
          <w:rFonts w:hint="eastAsia" w:ascii="Times New Roman" w:hAnsi="Times New Roman" w:eastAsia="楷体_GB2312" w:cs="楷体_GB2312"/>
          <w:color w:val="auto"/>
          <w:sz w:val="32"/>
          <w:szCs w:val="40"/>
          <w:highlight w:val="none"/>
          <w:lang w:val="en-US" w:eastAsia="zh-CN"/>
        </w:rPr>
        <w:t>6</w:t>
      </w:r>
      <w:r>
        <w:rPr>
          <w:rFonts w:hint="eastAsia" w:ascii="Times New Roman" w:hAnsi="Times New Roman" w:eastAsia="楷体_GB2312" w:cs="楷体_GB2312"/>
          <w:color w:val="auto"/>
          <w:sz w:val="32"/>
          <w:szCs w:val="40"/>
          <w:highlight w:val="none"/>
        </w:rPr>
        <w:t>年版）</w:t>
      </w:r>
    </w:p>
    <w:p w14:paraId="54D516A4">
      <w:pPr>
        <w:keepNext w:val="0"/>
        <w:keepLines w:val="0"/>
        <w:pageBreakBefore w:val="0"/>
        <w:widowControl w:val="0"/>
        <w:kinsoku/>
        <w:wordWrap/>
        <w:overflowPunct/>
        <w:topLinePunct w:val="0"/>
        <w:autoSpaceDE/>
        <w:autoSpaceDN/>
        <w:bidi w:val="0"/>
        <w:adjustRightInd/>
        <w:snapToGrid/>
        <w:spacing w:beforeAutospacing="0" w:afterAutospacing="0" w:line="560" w:lineRule="exact"/>
        <w:textAlignment w:val="auto"/>
        <w:rPr>
          <w:rFonts w:hint="eastAsia" w:ascii="Times New Roman" w:hAnsi="Times New Roman" w:eastAsia="仿宋_GB2312" w:cs="仿宋_GB2312"/>
          <w:color w:val="auto"/>
          <w:sz w:val="32"/>
          <w:szCs w:val="40"/>
          <w:highlight w:val="none"/>
        </w:rPr>
      </w:pPr>
    </w:p>
    <w:p w14:paraId="2B6761E5">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黑体" w:cs="Times New Roman"/>
          <w:color w:val="auto"/>
          <w:sz w:val="32"/>
          <w:szCs w:val="32"/>
          <w:highlight w:val="none"/>
        </w:rPr>
      </w:pPr>
      <w:r>
        <w:rPr>
          <w:rFonts w:hint="eastAsia" w:ascii="Times New Roman" w:hAnsi="Times New Roman" w:eastAsia="黑体" w:cs="黑体"/>
          <w:color w:val="auto"/>
          <w:sz w:val="32"/>
          <w:szCs w:val="40"/>
          <w:highlight w:val="none"/>
        </w:rPr>
        <w:t>1 抽样方法</w:t>
      </w:r>
    </w:p>
    <w:p w14:paraId="368C32CC">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以随机抽样的方式在被抽样生产者、销售者的待销产品中抽取。</w:t>
      </w:r>
    </w:p>
    <w:p w14:paraId="223CCEE3">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随机数一般可使用随机数表等方法产生。</w:t>
      </w:r>
    </w:p>
    <w:p w14:paraId="2301A15F">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轨道插座每批次产品抽取样品8套（每套含不小于1米长导轨1个+插座3个），其中5套作为检验样品，3套作为备用样品。</w:t>
      </w:r>
    </w:p>
    <w:p w14:paraId="5B96DBD5">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黑体" w:cs="黑体"/>
          <w:color w:val="auto"/>
          <w:sz w:val="32"/>
          <w:szCs w:val="40"/>
          <w:highlight w:val="none"/>
        </w:rPr>
      </w:pPr>
      <w:r>
        <w:rPr>
          <w:rFonts w:hint="eastAsia" w:ascii="Times New Roman" w:hAnsi="Times New Roman" w:eastAsia="黑体" w:cs="黑体"/>
          <w:color w:val="auto"/>
          <w:sz w:val="32"/>
          <w:szCs w:val="40"/>
          <w:highlight w:val="none"/>
        </w:rPr>
        <w:t>2 检验依据</w:t>
      </w:r>
    </w:p>
    <w:p w14:paraId="7538D451">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楷体_GB2312" w:cs="楷体_GB2312"/>
          <w:color w:val="auto"/>
          <w:sz w:val="32"/>
          <w:szCs w:val="40"/>
          <w:highlight w:val="none"/>
        </w:rPr>
      </w:pPr>
      <w:r>
        <w:rPr>
          <w:rFonts w:hint="eastAsia" w:ascii="Times New Roman" w:hAnsi="Times New Roman" w:eastAsia="楷体_GB2312" w:cs="楷体_GB2312"/>
          <w:color w:val="auto"/>
          <w:sz w:val="32"/>
          <w:szCs w:val="40"/>
          <w:highlight w:val="none"/>
        </w:rPr>
        <w:t>2.1 轨道插座</w:t>
      </w:r>
    </w:p>
    <w:tbl>
      <w:tblPr>
        <w:tblStyle w:val="10"/>
        <w:tblW w:w="9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1"/>
        <w:gridCol w:w="3566"/>
        <w:gridCol w:w="4647"/>
      </w:tblGrid>
      <w:tr w14:paraId="644F2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trPr>
        <w:tc>
          <w:tcPr>
            <w:tcW w:w="961" w:type="dxa"/>
            <w:tcBorders>
              <w:top w:val="single" w:color="auto" w:sz="4" w:space="0"/>
              <w:left w:val="single" w:color="auto" w:sz="4" w:space="0"/>
              <w:bottom w:val="single" w:color="auto" w:sz="4" w:space="0"/>
              <w:right w:val="single" w:color="auto" w:sz="4" w:space="0"/>
            </w:tcBorders>
            <w:vAlign w:val="center"/>
          </w:tcPr>
          <w:p w14:paraId="4F3D8C0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bCs/>
                <w:color w:val="auto"/>
                <w:sz w:val="28"/>
                <w:szCs w:val="28"/>
                <w:highlight w:val="none"/>
                <w:lang w:bidi="ar"/>
              </w:rPr>
            </w:pPr>
            <w:r>
              <w:rPr>
                <w:rFonts w:hint="eastAsia" w:ascii="Times New Roman" w:hAnsi="Times New Roman" w:eastAsia="仿宋_GB2312" w:cs="仿宋_GB2312"/>
                <w:b/>
                <w:bCs/>
                <w:color w:val="auto"/>
                <w:sz w:val="28"/>
                <w:szCs w:val="28"/>
                <w:highlight w:val="none"/>
                <w:lang w:bidi="ar"/>
              </w:rPr>
              <w:t>序号</w:t>
            </w:r>
          </w:p>
        </w:tc>
        <w:tc>
          <w:tcPr>
            <w:tcW w:w="3566" w:type="dxa"/>
            <w:tcBorders>
              <w:top w:val="single" w:color="auto" w:sz="4" w:space="0"/>
              <w:left w:val="single" w:color="auto" w:sz="4" w:space="0"/>
              <w:bottom w:val="single" w:color="auto" w:sz="4" w:space="0"/>
              <w:right w:val="single" w:color="auto" w:sz="4" w:space="0"/>
            </w:tcBorders>
            <w:vAlign w:val="center"/>
          </w:tcPr>
          <w:p w14:paraId="628119D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bCs/>
                <w:color w:val="auto"/>
                <w:sz w:val="28"/>
                <w:szCs w:val="28"/>
                <w:highlight w:val="none"/>
                <w:lang w:bidi="ar"/>
              </w:rPr>
            </w:pPr>
            <w:r>
              <w:rPr>
                <w:rFonts w:hint="eastAsia" w:ascii="Times New Roman" w:hAnsi="Times New Roman" w:eastAsia="仿宋_GB2312" w:cs="仿宋_GB2312"/>
                <w:b/>
                <w:bCs/>
                <w:color w:val="auto"/>
                <w:sz w:val="28"/>
                <w:szCs w:val="28"/>
                <w:highlight w:val="none"/>
                <w:lang w:bidi="ar"/>
              </w:rPr>
              <w:t>检验项目</w:t>
            </w:r>
          </w:p>
        </w:tc>
        <w:tc>
          <w:tcPr>
            <w:tcW w:w="4647" w:type="dxa"/>
            <w:tcBorders>
              <w:top w:val="single" w:color="auto" w:sz="4" w:space="0"/>
              <w:left w:val="single" w:color="auto" w:sz="4" w:space="0"/>
              <w:bottom w:val="single" w:color="auto" w:sz="4" w:space="0"/>
              <w:right w:val="single" w:color="auto" w:sz="4" w:space="0"/>
            </w:tcBorders>
            <w:vAlign w:val="center"/>
          </w:tcPr>
          <w:p w14:paraId="5430A14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bCs/>
                <w:color w:val="auto"/>
                <w:sz w:val="28"/>
                <w:szCs w:val="28"/>
                <w:highlight w:val="none"/>
                <w:lang w:bidi="ar"/>
              </w:rPr>
            </w:pPr>
            <w:r>
              <w:rPr>
                <w:rFonts w:hint="eastAsia" w:ascii="Times New Roman" w:hAnsi="Times New Roman" w:eastAsia="仿宋_GB2312" w:cs="仿宋_GB2312"/>
                <w:b/>
                <w:bCs/>
                <w:color w:val="auto"/>
                <w:sz w:val="28"/>
                <w:szCs w:val="28"/>
                <w:highlight w:val="none"/>
                <w:lang w:bidi="ar"/>
              </w:rPr>
              <w:t>检验方法</w:t>
            </w:r>
          </w:p>
        </w:tc>
      </w:tr>
      <w:tr w14:paraId="398BF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61" w:type="dxa"/>
            <w:tcBorders>
              <w:top w:val="single" w:color="auto" w:sz="4" w:space="0"/>
              <w:left w:val="single" w:color="auto" w:sz="4" w:space="0"/>
              <w:bottom w:val="single" w:color="auto" w:sz="4" w:space="0"/>
              <w:right w:val="single" w:color="auto" w:sz="4" w:space="0"/>
            </w:tcBorders>
            <w:vAlign w:val="center"/>
          </w:tcPr>
          <w:p w14:paraId="2F11FB4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1</w:t>
            </w:r>
          </w:p>
        </w:tc>
        <w:tc>
          <w:tcPr>
            <w:tcW w:w="3566" w:type="dxa"/>
            <w:tcBorders>
              <w:top w:val="single" w:color="auto" w:sz="4" w:space="0"/>
              <w:left w:val="single" w:color="auto" w:sz="4" w:space="0"/>
              <w:bottom w:val="single" w:color="auto" w:sz="4" w:space="0"/>
              <w:right w:val="single" w:color="auto" w:sz="4" w:space="0"/>
            </w:tcBorders>
            <w:vAlign w:val="center"/>
          </w:tcPr>
          <w:p w14:paraId="05BA47F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电气间隙、爬电距离和固体绝缘</w:t>
            </w:r>
          </w:p>
        </w:tc>
        <w:tc>
          <w:tcPr>
            <w:tcW w:w="4647" w:type="dxa"/>
            <w:tcBorders>
              <w:top w:val="single" w:color="auto" w:sz="4" w:space="0"/>
              <w:left w:val="single" w:color="auto" w:sz="4" w:space="0"/>
              <w:bottom w:val="single" w:color="auto" w:sz="4" w:space="0"/>
              <w:right w:val="single" w:color="auto" w:sz="4" w:space="0"/>
            </w:tcBorders>
            <w:vAlign w:val="center"/>
          </w:tcPr>
          <w:p w14:paraId="40A9CBB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34130.1</w:t>
            </w:r>
            <w:r>
              <w:rPr>
                <w:rFonts w:hint="eastAsia" w:ascii="Times New Roman" w:hAnsi="Times New Roman" w:eastAsia="仿宋_GB2312" w:cs="仿宋_GB2312"/>
                <w:color w:val="auto"/>
                <w:sz w:val="28"/>
                <w:szCs w:val="28"/>
                <w:highlight w:val="none"/>
                <w:lang w:eastAsia="zh-CN"/>
              </w:rPr>
              <w:t>—</w:t>
            </w:r>
            <w:r>
              <w:rPr>
                <w:rFonts w:hint="eastAsia" w:ascii="Times New Roman" w:hAnsi="Times New Roman" w:eastAsia="仿宋_GB2312" w:cs="仿宋_GB2312"/>
                <w:color w:val="auto"/>
                <w:sz w:val="28"/>
                <w:szCs w:val="28"/>
                <w:highlight w:val="none"/>
              </w:rPr>
              <w:t>2017</w:t>
            </w:r>
          </w:p>
          <w:p w14:paraId="11CAA85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34130.21</w:t>
            </w:r>
            <w:r>
              <w:rPr>
                <w:rFonts w:hint="eastAsia" w:ascii="Times New Roman" w:hAnsi="Times New Roman" w:eastAsia="仿宋_GB2312" w:cs="仿宋_GB2312"/>
                <w:color w:val="auto"/>
                <w:sz w:val="28"/>
                <w:szCs w:val="28"/>
                <w:highlight w:val="none"/>
                <w:lang w:eastAsia="zh-CN"/>
              </w:rPr>
              <w:t>—</w:t>
            </w:r>
            <w:r>
              <w:rPr>
                <w:rFonts w:hint="eastAsia" w:ascii="Times New Roman" w:hAnsi="Times New Roman" w:eastAsia="仿宋_GB2312" w:cs="仿宋_GB2312"/>
                <w:color w:val="auto"/>
                <w:sz w:val="28"/>
                <w:szCs w:val="28"/>
                <w:highlight w:val="none"/>
              </w:rPr>
              <w:t xml:space="preserve">2017 </w:t>
            </w:r>
          </w:p>
          <w:p w14:paraId="0C2FD65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条款10</w:t>
            </w:r>
          </w:p>
        </w:tc>
      </w:tr>
      <w:tr w14:paraId="59487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61" w:type="dxa"/>
            <w:tcBorders>
              <w:top w:val="single" w:color="auto" w:sz="4" w:space="0"/>
              <w:left w:val="single" w:color="auto" w:sz="4" w:space="0"/>
              <w:bottom w:val="single" w:color="auto" w:sz="4" w:space="0"/>
              <w:right w:val="single" w:color="auto" w:sz="4" w:space="0"/>
            </w:tcBorders>
            <w:vAlign w:val="center"/>
          </w:tcPr>
          <w:p w14:paraId="7B532D5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2</w:t>
            </w:r>
          </w:p>
        </w:tc>
        <w:tc>
          <w:tcPr>
            <w:tcW w:w="3566" w:type="dxa"/>
            <w:tcBorders>
              <w:top w:val="single" w:color="auto" w:sz="4" w:space="0"/>
              <w:left w:val="single" w:color="auto" w:sz="4" w:space="0"/>
              <w:bottom w:val="single" w:color="auto" w:sz="4" w:space="0"/>
              <w:right w:val="single" w:color="auto" w:sz="4" w:space="0"/>
            </w:tcBorders>
            <w:vAlign w:val="center"/>
          </w:tcPr>
          <w:p w14:paraId="5E32D36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接地措施</w:t>
            </w:r>
          </w:p>
        </w:tc>
        <w:tc>
          <w:tcPr>
            <w:tcW w:w="4647" w:type="dxa"/>
            <w:tcBorders>
              <w:top w:val="single" w:color="auto" w:sz="4" w:space="0"/>
              <w:left w:val="single" w:color="auto" w:sz="4" w:space="0"/>
              <w:bottom w:val="single" w:color="auto" w:sz="4" w:space="0"/>
              <w:right w:val="single" w:color="auto" w:sz="4" w:space="0"/>
            </w:tcBorders>
            <w:vAlign w:val="center"/>
          </w:tcPr>
          <w:p w14:paraId="0F12208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34130.1</w:t>
            </w:r>
            <w:r>
              <w:rPr>
                <w:rFonts w:hint="eastAsia" w:ascii="Times New Roman" w:hAnsi="Times New Roman" w:eastAsia="仿宋_GB2312" w:cs="仿宋_GB2312"/>
                <w:color w:val="auto"/>
                <w:sz w:val="28"/>
                <w:szCs w:val="28"/>
                <w:highlight w:val="none"/>
                <w:lang w:eastAsia="zh-CN"/>
              </w:rPr>
              <w:t>—</w:t>
            </w:r>
            <w:r>
              <w:rPr>
                <w:rFonts w:hint="eastAsia" w:ascii="Times New Roman" w:hAnsi="Times New Roman" w:eastAsia="仿宋_GB2312" w:cs="仿宋_GB2312"/>
                <w:color w:val="auto"/>
                <w:sz w:val="28"/>
                <w:szCs w:val="28"/>
                <w:highlight w:val="none"/>
              </w:rPr>
              <w:t>2017</w:t>
            </w:r>
          </w:p>
          <w:p w14:paraId="6D1C201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34130.21</w:t>
            </w:r>
            <w:r>
              <w:rPr>
                <w:rFonts w:hint="eastAsia" w:ascii="Times New Roman" w:hAnsi="Times New Roman" w:eastAsia="仿宋_GB2312" w:cs="仿宋_GB2312"/>
                <w:color w:val="auto"/>
                <w:sz w:val="28"/>
                <w:szCs w:val="28"/>
                <w:highlight w:val="none"/>
                <w:lang w:eastAsia="zh-CN"/>
              </w:rPr>
              <w:t>—</w:t>
            </w:r>
            <w:r>
              <w:rPr>
                <w:rFonts w:hint="eastAsia" w:ascii="Times New Roman" w:hAnsi="Times New Roman" w:eastAsia="仿宋_GB2312" w:cs="仿宋_GB2312"/>
                <w:color w:val="auto"/>
                <w:sz w:val="28"/>
                <w:szCs w:val="28"/>
                <w:highlight w:val="none"/>
              </w:rPr>
              <w:t xml:space="preserve">2017 </w:t>
            </w:r>
          </w:p>
          <w:p w14:paraId="79A2272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条款11.2</w:t>
            </w:r>
          </w:p>
        </w:tc>
      </w:tr>
      <w:tr w14:paraId="1572F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61" w:type="dxa"/>
            <w:tcBorders>
              <w:top w:val="single" w:color="auto" w:sz="4" w:space="0"/>
              <w:left w:val="single" w:color="auto" w:sz="4" w:space="0"/>
              <w:bottom w:val="single" w:color="auto" w:sz="4" w:space="0"/>
              <w:right w:val="single" w:color="auto" w:sz="4" w:space="0"/>
            </w:tcBorders>
            <w:vAlign w:val="center"/>
          </w:tcPr>
          <w:p w14:paraId="7CAFCD8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3</w:t>
            </w:r>
          </w:p>
        </w:tc>
        <w:tc>
          <w:tcPr>
            <w:tcW w:w="3566" w:type="dxa"/>
            <w:tcBorders>
              <w:top w:val="single" w:color="auto" w:sz="4" w:space="0"/>
              <w:left w:val="single" w:color="auto" w:sz="4" w:space="0"/>
              <w:bottom w:val="single" w:color="auto" w:sz="4" w:space="0"/>
              <w:right w:val="single" w:color="auto" w:sz="4" w:space="0"/>
            </w:tcBorders>
            <w:vAlign w:val="center"/>
          </w:tcPr>
          <w:p w14:paraId="1920FF5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保护电路连续性的有效性</w:t>
            </w:r>
          </w:p>
        </w:tc>
        <w:tc>
          <w:tcPr>
            <w:tcW w:w="4647" w:type="dxa"/>
            <w:tcBorders>
              <w:top w:val="single" w:color="auto" w:sz="4" w:space="0"/>
              <w:left w:val="single" w:color="auto" w:sz="4" w:space="0"/>
              <w:bottom w:val="single" w:color="auto" w:sz="4" w:space="0"/>
              <w:right w:val="single" w:color="auto" w:sz="4" w:space="0"/>
            </w:tcBorders>
            <w:vAlign w:val="center"/>
          </w:tcPr>
          <w:p w14:paraId="39EE8BE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34130.1</w:t>
            </w:r>
            <w:r>
              <w:rPr>
                <w:rFonts w:hint="eastAsia" w:ascii="Times New Roman" w:hAnsi="Times New Roman" w:eastAsia="仿宋_GB2312" w:cs="仿宋_GB2312"/>
                <w:color w:val="auto"/>
                <w:sz w:val="28"/>
                <w:szCs w:val="28"/>
                <w:highlight w:val="none"/>
                <w:lang w:eastAsia="zh-CN"/>
              </w:rPr>
              <w:t>—</w:t>
            </w:r>
            <w:r>
              <w:rPr>
                <w:rFonts w:hint="eastAsia" w:ascii="Times New Roman" w:hAnsi="Times New Roman" w:eastAsia="仿宋_GB2312" w:cs="仿宋_GB2312"/>
                <w:color w:val="auto"/>
                <w:sz w:val="28"/>
                <w:szCs w:val="28"/>
                <w:highlight w:val="none"/>
              </w:rPr>
              <w:t>2017</w:t>
            </w:r>
          </w:p>
          <w:p w14:paraId="192E339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34130.21</w:t>
            </w:r>
            <w:r>
              <w:rPr>
                <w:rFonts w:hint="eastAsia" w:ascii="Times New Roman" w:hAnsi="Times New Roman" w:eastAsia="仿宋_GB2312" w:cs="仿宋_GB2312"/>
                <w:color w:val="auto"/>
                <w:sz w:val="28"/>
                <w:szCs w:val="28"/>
                <w:highlight w:val="none"/>
                <w:lang w:eastAsia="zh-CN"/>
              </w:rPr>
              <w:t>—</w:t>
            </w:r>
            <w:r>
              <w:rPr>
                <w:rFonts w:hint="eastAsia" w:ascii="Times New Roman" w:hAnsi="Times New Roman" w:eastAsia="仿宋_GB2312" w:cs="仿宋_GB2312"/>
                <w:color w:val="auto"/>
                <w:sz w:val="28"/>
                <w:szCs w:val="28"/>
                <w:highlight w:val="none"/>
              </w:rPr>
              <w:t>2017</w:t>
            </w:r>
          </w:p>
          <w:p w14:paraId="67071DA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条款11.3.3</w:t>
            </w:r>
          </w:p>
        </w:tc>
      </w:tr>
      <w:tr w14:paraId="045DD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61" w:type="dxa"/>
            <w:tcBorders>
              <w:top w:val="single" w:color="auto" w:sz="4" w:space="0"/>
              <w:left w:val="single" w:color="auto" w:sz="4" w:space="0"/>
              <w:bottom w:val="single" w:color="auto" w:sz="4" w:space="0"/>
              <w:right w:val="single" w:color="auto" w:sz="4" w:space="0"/>
            </w:tcBorders>
            <w:vAlign w:val="center"/>
          </w:tcPr>
          <w:p w14:paraId="3FA4922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4</w:t>
            </w:r>
          </w:p>
        </w:tc>
        <w:tc>
          <w:tcPr>
            <w:tcW w:w="3566" w:type="dxa"/>
            <w:tcBorders>
              <w:top w:val="single" w:color="auto" w:sz="4" w:space="0"/>
              <w:left w:val="single" w:color="auto" w:sz="4" w:space="0"/>
              <w:bottom w:val="single" w:color="auto" w:sz="4" w:space="0"/>
              <w:right w:val="single" w:color="auto" w:sz="4" w:space="0"/>
            </w:tcBorders>
            <w:vAlign w:val="center"/>
          </w:tcPr>
          <w:p w14:paraId="1734E97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潮湿处理</w:t>
            </w:r>
          </w:p>
        </w:tc>
        <w:tc>
          <w:tcPr>
            <w:tcW w:w="4647" w:type="dxa"/>
            <w:tcBorders>
              <w:top w:val="single" w:color="auto" w:sz="4" w:space="0"/>
              <w:left w:val="single" w:color="auto" w:sz="4" w:space="0"/>
              <w:bottom w:val="single" w:color="auto" w:sz="4" w:space="0"/>
              <w:right w:val="single" w:color="auto" w:sz="4" w:space="0"/>
            </w:tcBorders>
            <w:vAlign w:val="center"/>
          </w:tcPr>
          <w:p w14:paraId="226C237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34130.1</w:t>
            </w:r>
            <w:r>
              <w:rPr>
                <w:rFonts w:hint="eastAsia" w:ascii="Times New Roman" w:hAnsi="Times New Roman" w:eastAsia="仿宋_GB2312" w:cs="仿宋_GB2312"/>
                <w:color w:val="auto"/>
                <w:sz w:val="28"/>
                <w:szCs w:val="28"/>
                <w:highlight w:val="none"/>
                <w:lang w:eastAsia="zh-CN"/>
              </w:rPr>
              <w:t>—</w:t>
            </w:r>
            <w:r>
              <w:rPr>
                <w:rFonts w:hint="eastAsia" w:ascii="Times New Roman" w:hAnsi="Times New Roman" w:eastAsia="仿宋_GB2312" w:cs="仿宋_GB2312"/>
                <w:color w:val="auto"/>
                <w:sz w:val="28"/>
                <w:szCs w:val="28"/>
                <w:highlight w:val="none"/>
              </w:rPr>
              <w:t>2017</w:t>
            </w:r>
          </w:p>
          <w:p w14:paraId="71ED6D8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34130.21</w:t>
            </w:r>
            <w:r>
              <w:rPr>
                <w:rFonts w:hint="eastAsia" w:ascii="Times New Roman" w:hAnsi="Times New Roman" w:eastAsia="仿宋_GB2312" w:cs="仿宋_GB2312"/>
                <w:color w:val="auto"/>
                <w:sz w:val="28"/>
                <w:szCs w:val="28"/>
                <w:highlight w:val="none"/>
                <w:lang w:eastAsia="zh-CN"/>
              </w:rPr>
              <w:t>—</w:t>
            </w:r>
            <w:r>
              <w:rPr>
                <w:rFonts w:hint="eastAsia" w:ascii="Times New Roman" w:hAnsi="Times New Roman" w:eastAsia="仿宋_GB2312" w:cs="仿宋_GB2312"/>
                <w:color w:val="auto"/>
                <w:sz w:val="28"/>
                <w:szCs w:val="28"/>
                <w:highlight w:val="none"/>
              </w:rPr>
              <w:t>2017</w:t>
            </w:r>
          </w:p>
          <w:p w14:paraId="51E9CD5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条款15.2</w:t>
            </w:r>
          </w:p>
        </w:tc>
      </w:tr>
      <w:tr w14:paraId="7AF71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61" w:type="dxa"/>
            <w:tcBorders>
              <w:top w:val="single" w:color="auto" w:sz="4" w:space="0"/>
              <w:left w:val="single" w:color="auto" w:sz="4" w:space="0"/>
              <w:bottom w:val="single" w:color="auto" w:sz="4" w:space="0"/>
              <w:right w:val="single" w:color="auto" w:sz="4" w:space="0"/>
            </w:tcBorders>
            <w:vAlign w:val="center"/>
          </w:tcPr>
          <w:p w14:paraId="3DAC5DF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5</w:t>
            </w:r>
          </w:p>
        </w:tc>
        <w:tc>
          <w:tcPr>
            <w:tcW w:w="3566" w:type="dxa"/>
            <w:tcBorders>
              <w:top w:val="single" w:color="auto" w:sz="4" w:space="0"/>
              <w:left w:val="single" w:color="auto" w:sz="4" w:space="0"/>
              <w:bottom w:val="single" w:color="auto" w:sz="4" w:space="0"/>
              <w:right w:val="single" w:color="auto" w:sz="4" w:space="0"/>
            </w:tcBorders>
            <w:vAlign w:val="center"/>
          </w:tcPr>
          <w:p w14:paraId="39B4B45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电气强度</w:t>
            </w:r>
          </w:p>
        </w:tc>
        <w:tc>
          <w:tcPr>
            <w:tcW w:w="4647" w:type="dxa"/>
            <w:tcBorders>
              <w:top w:val="single" w:color="auto" w:sz="4" w:space="0"/>
              <w:left w:val="single" w:color="auto" w:sz="4" w:space="0"/>
              <w:bottom w:val="single" w:color="auto" w:sz="4" w:space="0"/>
              <w:right w:val="single" w:color="auto" w:sz="4" w:space="0"/>
            </w:tcBorders>
            <w:vAlign w:val="center"/>
          </w:tcPr>
          <w:p w14:paraId="63FE3D7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34130.1</w:t>
            </w:r>
            <w:r>
              <w:rPr>
                <w:rFonts w:hint="eastAsia" w:ascii="Times New Roman" w:hAnsi="Times New Roman" w:eastAsia="仿宋_GB2312" w:cs="仿宋_GB2312"/>
                <w:color w:val="auto"/>
                <w:sz w:val="28"/>
                <w:szCs w:val="28"/>
                <w:highlight w:val="none"/>
                <w:lang w:eastAsia="zh-CN"/>
              </w:rPr>
              <w:t>—</w:t>
            </w:r>
            <w:r>
              <w:rPr>
                <w:rFonts w:hint="eastAsia" w:ascii="Times New Roman" w:hAnsi="Times New Roman" w:eastAsia="仿宋_GB2312" w:cs="仿宋_GB2312"/>
                <w:color w:val="auto"/>
                <w:sz w:val="28"/>
                <w:szCs w:val="28"/>
                <w:highlight w:val="none"/>
              </w:rPr>
              <w:t>2017</w:t>
            </w:r>
          </w:p>
          <w:p w14:paraId="6002CDF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34130.21</w:t>
            </w:r>
            <w:r>
              <w:rPr>
                <w:rFonts w:hint="eastAsia" w:ascii="Times New Roman" w:hAnsi="Times New Roman" w:eastAsia="仿宋_GB2312" w:cs="仿宋_GB2312"/>
                <w:color w:val="auto"/>
                <w:sz w:val="28"/>
                <w:szCs w:val="28"/>
                <w:highlight w:val="none"/>
                <w:lang w:eastAsia="zh-CN"/>
              </w:rPr>
              <w:t>—</w:t>
            </w:r>
            <w:r>
              <w:rPr>
                <w:rFonts w:hint="eastAsia" w:ascii="Times New Roman" w:hAnsi="Times New Roman" w:eastAsia="仿宋_GB2312" w:cs="仿宋_GB2312"/>
                <w:color w:val="auto"/>
                <w:sz w:val="28"/>
                <w:szCs w:val="28"/>
                <w:highlight w:val="none"/>
              </w:rPr>
              <w:t>2017</w:t>
            </w:r>
          </w:p>
          <w:p w14:paraId="3C9450D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条款15.4</w:t>
            </w:r>
          </w:p>
        </w:tc>
      </w:tr>
      <w:tr w14:paraId="7BC8A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61" w:type="dxa"/>
            <w:tcBorders>
              <w:top w:val="single" w:color="auto" w:sz="4" w:space="0"/>
              <w:left w:val="single" w:color="auto" w:sz="4" w:space="0"/>
              <w:bottom w:val="single" w:color="auto" w:sz="4" w:space="0"/>
              <w:right w:val="single" w:color="auto" w:sz="4" w:space="0"/>
            </w:tcBorders>
            <w:vAlign w:val="center"/>
          </w:tcPr>
          <w:p w14:paraId="65DE227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6</w:t>
            </w:r>
          </w:p>
        </w:tc>
        <w:tc>
          <w:tcPr>
            <w:tcW w:w="3566" w:type="dxa"/>
            <w:tcBorders>
              <w:top w:val="single" w:color="auto" w:sz="4" w:space="0"/>
              <w:left w:val="single" w:color="auto" w:sz="4" w:space="0"/>
              <w:bottom w:val="single" w:color="auto" w:sz="4" w:space="0"/>
              <w:right w:val="single" w:color="auto" w:sz="4" w:space="0"/>
            </w:tcBorders>
            <w:vAlign w:val="center"/>
          </w:tcPr>
          <w:p w14:paraId="27C427B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着火危险</w:t>
            </w:r>
          </w:p>
        </w:tc>
        <w:tc>
          <w:tcPr>
            <w:tcW w:w="4647" w:type="dxa"/>
            <w:tcBorders>
              <w:top w:val="single" w:color="auto" w:sz="4" w:space="0"/>
              <w:left w:val="single" w:color="auto" w:sz="4" w:space="0"/>
              <w:bottom w:val="single" w:color="auto" w:sz="4" w:space="0"/>
              <w:right w:val="single" w:color="auto" w:sz="4" w:space="0"/>
            </w:tcBorders>
            <w:vAlign w:val="center"/>
          </w:tcPr>
          <w:p w14:paraId="386C3E8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34130.1</w:t>
            </w:r>
            <w:r>
              <w:rPr>
                <w:rFonts w:hint="eastAsia" w:ascii="Times New Roman" w:hAnsi="Times New Roman" w:eastAsia="仿宋_GB2312" w:cs="仿宋_GB2312"/>
                <w:color w:val="auto"/>
                <w:sz w:val="28"/>
                <w:szCs w:val="28"/>
                <w:highlight w:val="none"/>
                <w:lang w:eastAsia="zh-CN"/>
              </w:rPr>
              <w:t>—</w:t>
            </w:r>
            <w:r>
              <w:rPr>
                <w:rFonts w:hint="eastAsia" w:ascii="Times New Roman" w:hAnsi="Times New Roman" w:eastAsia="仿宋_GB2312" w:cs="仿宋_GB2312"/>
                <w:color w:val="auto"/>
                <w:sz w:val="28"/>
                <w:szCs w:val="28"/>
                <w:highlight w:val="none"/>
              </w:rPr>
              <w:t>2017</w:t>
            </w:r>
          </w:p>
          <w:p w14:paraId="251CCBC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34130.21</w:t>
            </w:r>
            <w:r>
              <w:rPr>
                <w:rFonts w:hint="eastAsia" w:ascii="Times New Roman" w:hAnsi="Times New Roman" w:eastAsia="仿宋_GB2312" w:cs="仿宋_GB2312"/>
                <w:color w:val="auto"/>
                <w:sz w:val="28"/>
                <w:szCs w:val="28"/>
                <w:highlight w:val="none"/>
                <w:lang w:eastAsia="zh-CN"/>
              </w:rPr>
              <w:t>—</w:t>
            </w:r>
            <w:r>
              <w:rPr>
                <w:rFonts w:hint="eastAsia" w:ascii="Times New Roman" w:hAnsi="Times New Roman" w:eastAsia="仿宋_GB2312" w:cs="仿宋_GB2312"/>
                <w:color w:val="auto"/>
                <w:sz w:val="28"/>
                <w:szCs w:val="28"/>
                <w:highlight w:val="none"/>
              </w:rPr>
              <w:t>2017</w:t>
            </w:r>
          </w:p>
          <w:p w14:paraId="3E871F7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条款20</w:t>
            </w:r>
          </w:p>
        </w:tc>
      </w:tr>
    </w:tbl>
    <w:p w14:paraId="54314209">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执行企业标准、团体标准、地方标准的产品，检验项目参照上述内容执行。</w:t>
      </w:r>
    </w:p>
    <w:p w14:paraId="1B45BF81">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凡是注日期的文件，其随后所有的修改单（不包括勘误的内容）或修订版不适用于本细则。凡是不注日期的文件，其最新版本适用于本细则。</w:t>
      </w:r>
    </w:p>
    <w:p w14:paraId="692AC045">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黑体" w:cs="黑体"/>
          <w:color w:val="auto"/>
          <w:sz w:val="32"/>
          <w:szCs w:val="40"/>
          <w:highlight w:val="none"/>
        </w:rPr>
      </w:pPr>
      <w:r>
        <w:rPr>
          <w:rFonts w:hint="eastAsia" w:ascii="Times New Roman" w:hAnsi="Times New Roman" w:eastAsia="黑体" w:cs="黑体"/>
          <w:color w:val="auto"/>
          <w:sz w:val="32"/>
          <w:szCs w:val="40"/>
          <w:highlight w:val="none"/>
        </w:rPr>
        <w:t>3 判定规则</w:t>
      </w:r>
    </w:p>
    <w:p w14:paraId="765FB06F">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楷体_GB2312" w:cs="楷体_GB2312"/>
          <w:color w:val="auto"/>
          <w:sz w:val="32"/>
          <w:szCs w:val="40"/>
          <w:highlight w:val="none"/>
        </w:rPr>
      </w:pPr>
      <w:r>
        <w:rPr>
          <w:rFonts w:hint="eastAsia" w:ascii="Times New Roman" w:hAnsi="Times New Roman" w:eastAsia="楷体_GB2312" w:cs="楷体_GB2312"/>
          <w:color w:val="auto"/>
          <w:sz w:val="32"/>
          <w:szCs w:val="40"/>
          <w:highlight w:val="none"/>
        </w:rPr>
        <w:t>3.1 依据标准</w:t>
      </w:r>
    </w:p>
    <w:p w14:paraId="49030C7A">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GB/T 34130.1</w:t>
      </w:r>
      <w:r>
        <w:rPr>
          <w:rFonts w:hint="eastAsia" w:ascii="Times New Roman" w:hAnsi="Times New Roman" w:eastAsia="仿宋_GB2312" w:cs="仿宋_GB2312"/>
          <w:color w:val="auto"/>
          <w:sz w:val="32"/>
          <w:szCs w:val="40"/>
          <w:highlight w:val="none"/>
          <w:lang w:eastAsia="zh-CN"/>
        </w:rPr>
        <w:t>—</w:t>
      </w:r>
      <w:r>
        <w:rPr>
          <w:rFonts w:hint="eastAsia" w:ascii="Times New Roman" w:hAnsi="Times New Roman" w:eastAsia="仿宋_GB2312" w:cs="仿宋_GB2312"/>
          <w:color w:val="auto"/>
          <w:sz w:val="32"/>
          <w:szCs w:val="40"/>
          <w:highlight w:val="none"/>
        </w:rPr>
        <w:t>2017 《电源母线系统 第1部分：通用要求》</w:t>
      </w:r>
    </w:p>
    <w:p w14:paraId="20DF064F">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GB/T 34130.21</w:t>
      </w:r>
      <w:r>
        <w:rPr>
          <w:rFonts w:hint="eastAsia" w:ascii="Times New Roman" w:hAnsi="Times New Roman" w:eastAsia="仿宋_GB2312" w:cs="仿宋_GB2312"/>
          <w:color w:val="auto"/>
          <w:sz w:val="32"/>
          <w:szCs w:val="40"/>
          <w:highlight w:val="none"/>
          <w:lang w:eastAsia="zh-CN"/>
        </w:rPr>
        <w:t>—</w:t>
      </w:r>
      <w:r>
        <w:rPr>
          <w:rFonts w:hint="eastAsia" w:ascii="Times New Roman" w:hAnsi="Times New Roman" w:eastAsia="仿宋_GB2312" w:cs="仿宋_GB2312"/>
          <w:color w:val="auto"/>
          <w:sz w:val="32"/>
          <w:szCs w:val="40"/>
          <w:highlight w:val="none"/>
        </w:rPr>
        <w:t>2017 《电源母线系统 第21部分：用于墙壁和天花板安装的电源母线系统的特殊要求》</w:t>
      </w:r>
    </w:p>
    <w:p w14:paraId="135F3373">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现行有效的企业标准、团体标准、地方标准及产品明示质量要求</w:t>
      </w:r>
    </w:p>
    <w:p w14:paraId="4814F3D6">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楷体_GB2312" w:cs="楷体_GB2312"/>
          <w:color w:val="auto"/>
          <w:sz w:val="32"/>
          <w:szCs w:val="40"/>
          <w:highlight w:val="none"/>
        </w:rPr>
      </w:pPr>
      <w:r>
        <w:rPr>
          <w:rFonts w:hint="eastAsia" w:ascii="Times New Roman" w:hAnsi="Times New Roman" w:eastAsia="楷体_GB2312" w:cs="楷体_GB2312"/>
          <w:color w:val="auto"/>
          <w:sz w:val="32"/>
          <w:szCs w:val="40"/>
          <w:highlight w:val="none"/>
        </w:rPr>
        <w:t>3.2 判定原则</w:t>
      </w:r>
    </w:p>
    <w:p w14:paraId="528DF325">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经检验，检验项目全部合格，判定为被抽查产品所检项目未发现不合格；检验项目中任一项或一项以上不合格，判定为被抽查产品不合格。</w:t>
      </w:r>
    </w:p>
    <w:p w14:paraId="6E83BCF3">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若被检产品明示的质量要求高于本细则中检验项目依据的标准要求时，应按被检产品明示的质量要求判定。</w:t>
      </w:r>
    </w:p>
    <w:p w14:paraId="14BADA7C">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若被检产品明示的质量要求低于本细则中检验项目依据的强制性标准要求时，应按照强制性标准要求判定。</w:t>
      </w:r>
    </w:p>
    <w:p w14:paraId="4E3C0731">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若被检产品明示的质量要求低于或包含本细则中检验项目依据的推荐性标准要求时，应以被检产品明示的质量要求判定。</w:t>
      </w:r>
    </w:p>
    <w:p w14:paraId="36671267">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hint="eastAsia" w:ascii="Times New Roman" w:hAnsi="Times New Roman" w:eastAsia="仿宋_GB2312" w:cs="仿宋_GB2312"/>
          <w:color w:val="auto"/>
          <w:sz w:val="32"/>
          <w:szCs w:val="40"/>
          <w:highlight w:val="none"/>
        </w:rPr>
        <w:t>若被检产品明示的质量要求缺少本细则中检验项目依据的强制性标准要求时，应按照强制性标准要求判定。</w:t>
      </w:r>
    </w:p>
    <w:p w14:paraId="7CC1EBEA">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32" w:firstLineChars="200"/>
        <w:textAlignment w:val="auto"/>
        <w:rPr>
          <w:rFonts w:hint="eastAsia" w:ascii="Times New Roman" w:hAnsi="Times New Roman" w:eastAsia="仿宋_GB2312" w:cs="仿宋_GB2312"/>
          <w:color w:val="auto"/>
          <w:sz w:val="32"/>
          <w:szCs w:val="40"/>
          <w:highlight w:val="none"/>
          <w:lang w:eastAsia="zh-CN"/>
        </w:rPr>
      </w:pPr>
      <w:r>
        <w:rPr>
          <w:rFonts w:hint="eastAsia" w:ascii="Times New Roman" w:hAnsi="Times New Roman" w:eastAsia="仿宋_GB2312" w:cs="仿宋_GB2312"/>
          <w:color w:val="auto"/>
          <w:sz w:val="32"/>
          <w:szCs w:val="40"/>
          <w:highlight w:val="none"/>
        </w:rPr>
        <w:t>若被检产品明示的质量要求缺少本细则中检验项目依据的推荐性标准要求时，该项目不参与判定</w:t>
      </w:r>
      <w:r>
        <w:rPr>
          <w:rFonts w:hint="eastAsia" w:ascii="Times New Roman" w:hAnsi="Times New Roman" w:cs="仿宋_GB2312"/>
          <w:color w:val="auto"/>
          <w:sz w:val="32"/>
          <w:szCs w:val="40"/>
          <w:highlight w:val="none"/>
          <w:lang w:eastAsia="zh-CN"/>
        </w:rPr>
        <w:t>。</w:t>
      </w:r>
    </w:p>
    <w:p w14:paraId="34320B6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olor w:val="auto"/>
          <w:highlight w:val="none"/>
          <w:lang w:eastAsia="zh-CN"/>
        </w:rPr>
      </w:pPr>
    </w:p>
    <w:p w14:paraId="4EF192C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color w:val="auto"/>
          <w:highlight w:val="none"/>
        </w:rPr>
      </w:pPr>
    </w:p>
    <w:p w14:paraId="09EE431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color w:val="auto"/>
          <w:highlight w:val="none"/>
        </w:rPr>
      </w:pPr>
    </w:p>
    <w:sectPr>
      <w:pgSz w:w="11907" w:h="16840"/>
      <w:pgMar w:top="2098" w:right="1474" w:bottom="1701" w:left="1588" w:header="851" w:footer="1191" w:gutter="0"/>
      <w:pgNumType w:fmt="decimal"/>
      <w:cols w:space="708" w:num="1"/>
      <w:rtlGutter w:val="0"/>
      <w:docGrid w:type="linesAndChars" w:linePitch="592" w:charSpace="-84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doNotDisplayPageBoundaries w:val="1"/>
  <w:gutterAtTop/>
  <w:documentProtection w:edit="readOnly" w:enforcement="0"/>
  <w:defaultTabStop w:val="425"/>
  <w:drawingGridHorizontalSpacing w:val="158"/>
  <w:drawingGridVerticalSpacing w:val="296"/>
  <w:doNotShadeFormData w:val="1"/>
  <w:noPunctuationKerning w:val="1"/>
  <w:characterSpacingControl w:val="compressPunctuation"/>
  <w:noLineBreaksAfter w:lang="zh-CN" w:val="([{·‘“〈《「『【〔〖（．［｛￡￥"/>
  <w:noLineBreaksBefore w:lang="zh-CN" w:val="!),.:;?]}¨·ˇˉ―‖’”…∶、。〃々〉》」』】〕〗！＂＇），．：；？］｀｜｝～￠"/>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7B88"/>
    <w:rsid w:val="00014828"/>
    <w:rsid w:val="00156031"/>
    <w:rsid w:val="00184CE6"/>
    <w:rsid w:val="002212CC"/>
    <w:rsid w:val="00302F24"/>
    <w:rsid w:val="003A6288"/>
    <w:rsid w:val="003B259C"/>
    <w:rsid w:val="003C498A"/>
    <w:rsid w:val="00431583"/>
    <w:rsid w:val="005756B3"/>
    <w:rsid w:val="00592B81"/>
    <w:rsid w:val="005B7B88"/>
    <w:rsid w:val="00657BD1"/>
    <w:rsid w:val="00701CFD"/>
    <w:rsid w:val="00772E1B"/>
    <w:rsid w:val="00781DB8"/>
    <w:rsid w:val="007A5E2E"/>
    <w:rsid w:val="007C0522"/>
    <w:rsid w:val="007C0FA0"/>
    <w:rsid w:val="008E4AA1"/>
    <w:rsid w:val="008F79D8"/>
    <w:rsid w:val="00916826"/>
    <w:rsid w:val="00945968"/>
    <w:rsid w:val="00960D0D"/>
    <w:rsid w:val="00962673"/>
    <w:rsid w:val="009B235A"/>
    <w:rsid w:val="00A556D7"/>
    <w:rsid w:val="00A815D6"/>
    <w:rsid w:val="00AE0D5E"/>
    <w:rsid w:val="00B235FB"/>
    <w:rsid w:val="00BC4F05"/>
    <w:rsid w:val="00C365A6"/>
    <w:rsid w:val="00C710C8"/>
    <w:rsid w:val="00C917C9"/>
    <w:rsid w:val="00DC0BD1"/>
    <w:rsid w:val="00E56C68"/>
    <w:rsid w:val="00E83BD4"/>
    <w:rsid w:val="00E92B89"/>
    <w:rsid w:val="00EB4657"/>
    <w:rsid w:val="00F00B0D"/>
    <w:rsid w:val="01A1079C"/>
    <w:rsid w:val="027E1964"/>
    <w:rsid w:val="041B45C8"/>
    <w:rsid w:val="04BC6A35"/>
    <w:rsid w:val="053E7EBA"/>
    <w:rsid w:val="05856340"/>
    <w:rsid w:val="06432F20"/>
    <w:rsid w:val="07235BC1"/>
    <w:rsid w:val="073D6060"/>
    <w:rsid w:val="079C505E"/>
    <w:rsid w:val="07D87B7D"/>
    <w:rsid w:val="07F46EE0"/>
    <w:rsid w:val="084416A8"/>
    <w:rsid w:val="086E2E87"/>
    <w:rsid w:val="086F35C8"/>
    <w:rsid w:val="091C74D8"/>
    <w:rsid w:val="09444925"/>
    <w:rsid w:val="096447C8"/>
    <w:rsid w:val="09CC1A64"/>
    <w:rsid w:val="0AD53DD3"/>
    <w:rsid w:val="0AEA2F37"/>
    <w:rsid w:val="0B7347E2"/>
    <w:rsid w:val="0B9F6D1F"/>
    <w:rsid w:val="0CBE5E64"/>
    <w:rsid w:val="0D310E43"/>
    <w:rsid w:val="0D614E7F"/>
    <w:rsid w:val="0DDB39D6"/>
    <w:rsid w:val="0E856AF0"/>
    <w:rsid w:val="0F6B46CF"/>
    <w:rsid w:val="0F9B4C0E"/>
    <w:rsid w:val="0FB571D5"/>
    <w:rsid w:val="10D80231"/>
    <w:rsid w:val="11BF04BA"/>
    <w:rsid w:val="12836D6B"/>
    <w:rsid w:val="130138BF"/>
    <w:rsid w:val="13C96B91"/>
    <w:rsid w:val="13FA596E"/>
    <w:rsid w:val="14333E72"/>
    <w:rsid w:val="147932EB"/>
    <w:rsid w:val="15495FF5"/>
    <w:rsid w:val="15DD6598"/>
    <w:rsid w:val="15EB3E34"/>
    <w:rsid w:val="16216330"/>
    <w:rsid w:val="162912DC"/>
    <w:rsid w:val="167E747B"/>
    <w:rsid w:val="185F15B7"/>
    <w:rsid w:val="1890313D"/>
    <w:rsid w:val="193E0318"/>
    <w:rsid w:val="1994748F"/>
    <w:rsid w:val="1A376B87"/>
    <w:rsid w:val="1A5C71FF"/>
    <w:rsid w:val="1A99507C"/>
    <w:rsid w:val="1AB36561"/>
    <w:rsid w:val="1B996256"/>
    <w:rsid w:val="1D012A8E"/>
    <w:rsid w:val="1D056901"/>
    <w:rsid w:val="1D721AAC"/>
    <w:rsid w:val="1DAC5769"/>
    <w:rsid w:val="1EBD7D0C"/>
    <w:rsid w:val="1ECB45A2"/>
    <w:rsid w:val="1F980D5B"/>
    <w:rsid w:val="1FC30982"/>
    <w:rsid w:val="20234AC9"/>
    <w:rsid w:val="216A6F17"/>
    <w:rsid w:val="221F6C19"/>
    <w:rsid w:val="23200223"/>
    <w:rsid w:val="232748D0"/>
    <w:rsid w:val="23473E55"/>
    <w:rsid w:val="24B42465"/>
    <w:rsid w:val="25163F37"/>
    <w:rsid w:val="253B0B07"/>
    <w:rsid w:val="256E0893"/>
    <w:rsid w:val="25985147"/>
    <w:rsid w:val="25B52B59"/>
    <w:rsid w:val="26E200D1"/>
    <w:rsid w:val="274E4091"/>
    <w:rsid w:val="27592570"/>
    <w:rsid w:val="27FD4CC3"/>
    <w:rsid w:val="27FF772E"/>
    <w:rsid w:val="287936F7"/>
    <w:rsid w:val="28826F91"/>
    <w:rsid w:val="28D82090"/>
    <w:rsid w:val="291B4288"/>
    <w:rsid w:val="2C687FA0"/>
    <w:rsid w:val="2C9613F9"/>
    <w:rsid w:val="2E9E75BF"/>
    <w:rsid w:val="2F174188"/>
    <w:rsid w:val="2F2458BE"/>
    <w:rsid w:val="2F517F93"/>
    <w:rsid w:val="2F6720C5"/>
    <w:rsid w:val="30834AED"/>
    <w:rsid w:val="31102E48"/>
    <w:rsid w:val="31447BE1"/>
    <w:rsid w:val="32A33D70"/>
    <w:rsid w:val="340E4974"/>
    <w:rsid w:val="341E6BB6"/>
    <w:rsid w:val="37115FDB"/>
    <w:rsid w:val="37144563"/>
    <w:rsid w:val="38524B29"/>
    <w:rsid w:val="3925095F"/>
    <w:rsid w:val="39456A32"/>
    <w:rsid w:val="39635633"/>
    <w:rsid w:val="39D95CDA"/>
    <w:rsid w:val="39E812B8"/>
    <w:rsid w:val="3A2B6C29"/>
    <w:rsid w:val="3BCD1C28"/>
    <w:rsid w:val="3C736FE9"/>
    <w:rsid w:val="3D20589F"/>
    <w:rsid w:val="3D912420"/>
    <w:rsid w:val="3DE87AD1"/>
    <w:rsid w:val="3FEF3843"/>
    <w:rsid w:val="3FF22824"/>
    <w:rsid w:val="402579EF"/>
    <w:rsid w:val="40AE5AE3"/>
    <w:rsid w:val="41A7234A"/>
    <w:rsid w:val="41C10054"/>
    <w:rsid w:val="41EC24D3"/>
    <w:rsid w:val="41FC67D2"/>
    <w:rsid w:val="42520A34"/>
    <w:rsid w:val="42AB766E"/>
    <w:rsid w:val="44096B34"/>
    <w:rsid w:val="45325696"/>
    <w:rsid w:val="45513DF0"/>
    <w:rsid w:val="459776EA"/>
    <w:rsid w:val="45E30CC2"/>
    <w:rsid w:val="47342AA3"/>
    <w:rsid w:val="47BA1797"/>
    <w:rsid w:val="4932582C"/>
    <w:rsid w:val="496D6B7A"/>
    <w:rsid w:val="4AB467A0"/>
    <w:rsid w:val="4C061047"/>
    <w:rsid w:val="4C7B3EBD"/>
    <w:rsid w:val="4C8E7B69"/>
    <w:rsid w:val="4EA32DF5"/>
    <w:rsid w:val="4FD41305"/>
    <w:rsid w:val="4FD846E5"/>
    <w:rsid w:val="50CB6455"/>
    <w:rsid w:val="522107C7"/>
    <w:rsid w:val="525C079C"/>
    <w:rsid w:val="527728CF"/>
    <w:rsid w:val="529A56E5"/>
    <w:rsid w:val="52EA2216"/>
    <w:rsid w:val="533D7221"/>
    <w:rsid w:val="542F126D"/>
    <w:rsid w:val="543D4F4A"/>
    <w:rsid w:val="545C7631"/>
    <w:rsid w:val="55337340"/>
    <w:rsid w:val="578D5C8D"/>
    <w:rsid w:val="58132276"/>
    <w:rsid w:val="58C96821"/>
    <w:rsid w:val="59451F20"/>
    <w:rsid w:val="5999137D"/>
    <w:rsid w:val="59EC333F"/>
    <w:rsid w:val="5C384CFF"/>
    <w:rsid w:val="5C505101"/>
    <w:rsid w:val="5E01252F"/>
    <w:rsid w:val="5E0516D4"/>
    <w:rsid w:val="5E4009F6"/>
    <w:rsid w:val="5E59557E"/>
    <w:rsid w:val="5F245B8C"/>
    <w:rsid w:val="5F432E56"/>
    <w:rsid w:val="5F6B10F1"/>
    <w:rsid w:val="5F6E2E8A"/>
    <w:rsid w:val="5F925673"/>
    <w:rsid w:val="5F9A1412"/>
    <w:rsid w:val="5FA016B7"/>
    <w:rsid w:val="5FD54DA6"/>
    <w:rsid w:val="60334A70"/>
    <w:rsid w:val="61992351"/>
    <w:rsid w:val="62A33EE9"/>
    <w:rsid w:val="62EE6255"/>
    <w:rsid w:val="63C347C1"/>
    <w:rsid w:val="640E2967"/>
    <w:rsid w:val="657F507F"/>
    <w:rsid w:val="660B02F6"/>
    <w:rsid w:val="660E5D3D"/>
    <w:rsid w:val="66705A4E"/>
    <w:rsid w:val="66757D4D"/>
    <w:rsid w:val="66D151D1"/>
    <w:rsid w:val="67041B93"/>
    <w:rsid w:val="68490412"/>
    <w:rsid w:val="68B539CC"/>
    <w:rsid w:val="69B97B02"/>
    <w:rsid w:val="69BF4BE5"/>
    <w:rsid w:val="69D05495"/>
    <w:rsid w:val="6A162576"/>
    <w:rsid w:val="6A1D632D"/>
    <w:rsid w:val="6A204CEB"/>
    <w:rsid w:val="6BBF5F61"/>
    <w:rsid w:val="6BE90990"/>
    <w:rsid w:val="6CB24EA6"/>
    <w:rsid w:val="6D5A21D9"/>
    <w:rsid w:val="6ED16876"/>
    <w:rsid w:val="6F411350"/>
    <w:rsid w:val="6FA6511A"/>
    <w:rsid w:val="71B714C2"/>
    <w:rsid w:val="72135F89"/>
    <w:rsid w:val="72BA23DD"/>
    <w:rsid w:val="735F08BF"/>
    <w:rsid w:val="73621BBF"/>
    <w:rsid w:val="73DC5D2F"/>
    <w:rsid w:val="74C12055"/>
    <w:rsid w:val="74C50E20"/>
    <w:rsid w:val="74D317F8"/>
    <w:rsid w:val="74DA7262"/>
    <w:rsid w:val="75EA08FF"/>
    <w:rsid w:val="792D5E2C"/>
    <w:rsid w:val="793E3593"/>
    <w:rsid w:val="7A670DD8"/>
    <w:rsid w:val="7C2F522D"/>
    <w:rsid w:val="7DA24632"/>
    <w:rsid w:val="7F235CB7"/>
    <w:rsid w:val="7F513DD4"/>
    <w:rsid w:val="7FCA688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qFormat="1" w:unhideWhenUsed="0" w:uiPriority="0" w:semiHidden="0" w:name="Signature"/>
    <w:lsdException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0"/>
    <w:pPr>
      <w:jc w:val="center"/>
      <w:outlineLvl w:val="0"/>
    </w:pPr>
    <w:rPr>
      <w:rFonts w:ascii="方正小标宋简体" w:eastAsia="方正小标宋简体"/>
      <w:kern w:val="44"/>
      <w:sz w:val="38"/>
    </w:rPr>
  </w:style>
  <w:style w:type="paragraph" w:styleId="3">
    <w:name w:val="heading 2"/>
    <w:basedOn w:val="1"/>
    <w:next w:val="1"/>
    <w:qFormat/>
    <w:uiPriority w:val="0"/>
    <w:pPr>
      <w:keepNext/>
      <w:keepLines/>
      <w:spacing w:line="600" w:lineRule="exact"/>
      <w:outlineLvl w:val="1"/>
    </w:pPr>
    <w:rPr>
      <w:rFonts w:ascii="Arial" w:hAnsi="Arial" w:eastAsia="黑体"/>
      <w:sz w:val="30"/>
    </w:rPr>
  </w:style>
  <w:style w:type="paragraph" w:styleId="4">
    <w:name w:val="heading 3"/>
    <w:basedOn w:val="1"/>
    <w:next w:val="1"/>
    <w:qFormat/>
    <w:uiPriority w:val="0"/>
    <w:pPr>
      <w:keepNext/>
      <w:keepLines/>
      <w:spacing w:line="600" w:lineRule="exact"/>
      <w:outlineLvl w:val="2"/>
    </w:pPr>
    <w:rPr>
      <w:rFonts w:eastAsia="楷体_GB2312"/>
      <w:b/>
      <w:sz w:val="30"/>
    </w:rPr>
  </w:style>
  <w:style w:type="character" w:default="1" w:styleId="12">
    <w:name w:val="Default Paragraph Font"/>
    <w:uiPriority w:val="0"/>
  </w:style>
  <w:style w:type="table" w:default="1" w:styleId="10">
    <w:name w:val="Normal Table"/>
    <w:semiHidden/>
    <w:uiPriority w:val="0"/>
    <w:tblPr>
      <w:tblCellMar>
        <w:top w:w="0" w:type="dxa"/>
        <w:left w:w="108" w:type="dxa"/>
        <w:bottom w:w="0" w:type="dxa"/>
        <w:right w:w="108" w:type="dxa"/>
      </w:tblCellMar>
    </w:tblPr>
  </w:style>
  <w:style w:type="paragraph" w:styleId="5">
    <w:name w:val="Date"/>
    <w:basedOn w:val="1"/>
    <w:next w:val="1"/>
    <w:uiPriority w:val="0"/>
    <w:pPr>
      <w:spacing w:line="600" w:lineRule="exact"/>
      <w:ind w:left="4253" w:leftChars="0"/>
    </w:pPr>
    <w:rPr>
      <w:sz w:val="30"/>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spacing w:line="240" w:lineRule="atLeast"/>
      <w:jc w:val="center"/>
    </w:pPr>
    <w:rPr>
      <w:sz w:val="18"/>
    </w:rPr>
  </w:style>
  <w:style w:type="paragraph" w:styleId="8">
    <w:name w:val="Signature"/>
    <w:basedOn w:val="1"/>
    <w:qFormat/>
    <w:uiPriority w:val="0"/>
    <w:pPr>
      <w:spacing w:line="600" w:lineRule="exact"/>
      <w:ind w:left="4253" w:leftChars="0"/>
    </w:pPr>
    <w:rPr>
      <w:sz w:val="30"/>
    </w:rPr>
  </w:style>
  <w:style w:type="paragraph" w:styleId="9">
    <w:name w:val="toc 2"/>
    <w:basedOn w:val="1"/>
    <w:next w:val="1"/>
    <w:qFormat/>
    <w:uiPriority w:val="0"/>
    <w:pPr>
      <w:ind w:left="420" w:leftChars="200"/>
    </w:pPr>
  </w:style>
  <w:style w:type="table" w:styleId="11">
    <w:name w:val="Table Grid"/>
    <w:unhideWhenUsed/>
    <w:qFormat/>
    <w:uiPriority w:val="99"/>
    <w:rPr>
      <w:rFonts w:ascii="Calibri" w:hAnsi="Calibri"/>
      <w:lang w:val="en-US" w:eastAsia="zh-CN" w:bidi="ar-S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styleId="13">
    <w:name w:val="page number"/>
    <w:basedOn w:val="12"/>
    <w:qFormat/>
    <w:uiPriority w:val="0"/>
  </w:style>
  <w:style w:type="character" w:customStyle="1" w:styleId="14">
    <w:name w:val="font111"/>
    <w:basedOn w:val="12"/>
    <w:qFormat/>
    <w:uiPriority w:val="0"/>
    <w:rPr>
      <w:rFonts w:hint="eastAsia" w:ascii="仿宋" w:hAnsi="仿宋" w:eastAsia="仿宋" w:cs="仿宋"/>
      <w:color w:val="000000"/>
      <w:sz w:val="28"/>
      <w:szCs w:val="28"/>
      <w:u w:val="none"/>
    </w:rPr>
  </w:style>
  <w:style w:type="paragraph" w:customStyle="1" w:styleId="15">
    <w:name w:val="主题词"/>
    <w:basedOn w:val="1"/>
    <w:qFormat/>
    <w:uiPriority w:val="0"/>
    <w:pPr>
      <w:spacing w:after="156" w:afterLines="50" w:afterAutospacing="0"/>
    </w:pPr>
    <w:rPr>
      <w:rFonts w:eastAsia="方正小标宋简体"/>
    </w:rPr>
  </w:style>
  <w:style w:type="table" w:customStyle="1" w:styleId="16">
    <w:name w:val="Table Grid_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table" w:customStyle="1" w:styleId="17">
    <w:name w:val="Table Normal"/>
    <w:qFormat/>
    <w:uiPriority w:val="0"/>
    <w:tblPr>
      <w:tblCellMar>
        <w:top w:w="0" w:type="dxa"/>
        <w:left w:w="0" w:type="dxa"/>
        <w:bottom w:w="0" w:type="dxa"/>
        <w:right w:w="0" w:type="dxa"/>
      </w:tblCellMar>
    </w:tblPr>
  </w:style>
  <w:style w:type="table" w:customStyle="1" w:styleId="18">
    <w:name w:val="Table Grid_0_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A4.dot</Template>
  <Company>gdgsj</Company>
  <Pages>3</Pages>
  <Words>763</Words>
  <Characters>965</Characters>
  <Lines>1</Lines>
  <Paragraphs>1</Paragraphs>
  <TotalTime>157344000</TotalTime>
  <ScaleCrop>false</ScaleCrop>
  <LinksUpToDate>false</LinksUpToDate>
  <CharactersWithSpaces>991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2018-10-22T03:28:00Z</dcterms:created>
  <dc:creator>Administrator</dc:creator>
  <cp:lastModifiedBy>cui</cp:lastModifiedBy>
  <cp:lastPrinted>2022-06-08T02:39:00Z</cp:lastPrinted>
  <dcterms:modified xsi:type="dcterms:W3CDTF">2026-07-10T07:14:18Z</dcterms:modified>
  <dc:title>广东省市场监督管理局</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934373A7B5BB45E5B255AD88CBE44C9B_13</vt:lpwstr>
  </property>
  <property fmtid="{D5CDD505-2E9C-101B-9397-08002B2CF9AE}" pid="3" name="KSOProductBuildVer">
    <vt:lpwstr>2052-12.1.0.26895</vt:lpwstr>
  </property>
  <property fmtid="{D5CDD505-2E9C-101B-9397-08002B2CF9AE}" pid="4" name="KSOTemplateDocerSaveRecord">
    <vt:lpwstr>eyJoZGlkIjoiMDk3M2U0ZDQ4YzMyZDhlMTI3OWMwYjE2N2QwMmUxMGEiLCJ1c2VySWQiOiI0Mjk3ODY0MzAifQ==</vt:lpwstr>
  </property>
</Properties>
</file>