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978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3</w:t>
      </w:r>
    </w:p>
    <w:p w14:paraId="7C05D6DF">
      <w:pPr>
        <w:bidi w:val="0"/>
        <w:rPr>
          <w:rFonts w:hint="default"/>
          <w:lang w:val="en-US" w:eastAsia="zh-CN"/>
        </w:rPr>
      </w:pPr>
    </w:p>
    <w:p w14:paraId="004AFDA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202</w:t>
      </w:r>
      <w:r>
        <w:rPr>
          <w:rFonts w:hint="eastAsia" w:ascii="Times New Roman" w:hAnsi="Times New Roman" w:eastAsia="方正小标宋简体" w:cs="Times New Roman"/>
          <w:sz w:val="44"/>
          <w:szCs w:val="44"/>
          <w:lang w:val="en-US" w:eastAsia="zh-CN"/>
        </w:rPr>
        <w:t>7</w:t>
      </w:r>
      <w:r>
        <w:rPr>
          <w:rFonts w:hint="default" w:ascii="Times New Roman" w:hAnsi="Times New Roman" w:eastAsia="方正小标宋简体" w:cs="Times New Roman"/>
          <w:sz w:val="44"/>
          <w:szCs w:val="44"/>
          <w:lang w:val="en-US" w:eastAsia="zh-CN"/>
        </w:rPr>
        <w:t>年广东省企业</w:t>
      </w:r>
      <w:r>
        <w:rPr>
          <w:rFonts w:hint="eastAsia" w:ascii="Times New Roman" w:hAnsi="Times New Roman" w:eastAsia="方正小标宋简体" w:cs="Times New Roman"/>
          <w:sz w:val="44"/>
          <w:szCs w:val="44"/>
          <w:lang w:val="en-US" w:eastAsia="zh-CN"/>
        </w:rPr>
        <w:t>经营研发活动专利导</w:t>
      </w:r>
      <w:r>
        <w:rPr>
          <w:rFonts w:hint="default" w:ascii="Times New Roman" w:hAnsi="Times New Roman" w:eastAsia="方正小标宋简体" w:cs="Times New Roman"/>
          <w:sz w:val="44"/>
          <w:szCs w:val="44"/>
          <w:lang w:val="en-US" w:eastAsia="zh-CN"/>
        </w:rPr>
        <w:t>航</w:t>
      </w:r>
    </w:p>
    <w:p w14:paraId="090034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项目（东莞市）申报指南</w:t>
      </w:r>
    </w:p>
    <w:p w14:paraId="6EEB84C0">
      <w:pPr>
        <w:rPr>
          <w:rFonts w:hint="default" w:ascii="Times New Roman" w:hAnsi="Times New Roman" w:cs="Times New Roman"/>
          <w:lang w:val="en-US" w:eastAsia="zh-CN"/>
        </w:rPr>
      </w:pPr>
    </w:p>
    <w:p w14:paraId="013ACE52">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一、项目名称</w:t>
      </w:r>
    </w:p>
    <w:p w14:paraId="492B8188">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202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年广东省企业经营研发活动专利导航项目</w:t>
      </w:r>
      <w:r>
        <w:rPr>
          <w:rFonts w:hint="eastAsia" w:ascii="Times New Roman" w:hAnsi="Times New Roman" w:eastAsia="仿宋_GB2312" w:cs="Times New Roman"/>
          <w:sz w:val="32"/>
          <w:szCs w:val="32"/>
          <w:lang w:val="en-US" w:eastAsia="zh-CN"/>
        </w:rPr>
        <w:t>（东莞市）</w:t>
      </w:r>
    </w:p>
    <w:p w14:paraId="6F7D7479">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二、项目目标</w:t>
      </w:r>
    </w:p>
    <w:p w14:paraId="0DAB2B32">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聚焦我</w:t>
      </w:r>
      <w:r>
        <w:rPr>
          <w:rFonts w:hint="default" w:ascii="Times New Roman" w:hAnsi="Times New Roman" w:eastAsia="仿宋_GB2312" w:cs="Times New Roman"/>
          <w:sz w:val="32"/>
          <w:szCs w:val="32"/>
          <w:lang w:val="en-US" w:eastAsia="zh-CN"/>
        </w:rPr>
        <w:t>省</w:t>
      </w:r>
      <w:r>
        <w:rPr>
          <w:rFonts w:hint="eastAsia" w:ascii="Times New Roman" w:hAnsi="Times New Roman" w:eastAsia="仿宋_GB2312" w:cs="Times New Roman"/>
          <w:sz w:val="32"/>
          <w:szCs w:val="32"/>
          <w:lang w:val="en-US" w:eastAsia="zh-CN"/>
        </w:rPr>
        <w:t>重点培育发展</w:t>
      </w:r>
      <w:r>
        <w:rPr>
          <w:rFonts w:hint="eastAsia" w:ascii="Times New Roman" w:hAnsi="Times New Roman" w:eastAsia="仿宋_GB2312" w:cs="Times New Roman"/>
          <w:sz w:val="32"/>
          <w:szCs w:val="32"/>
          <w:lang w:val="en-US" w:eastAsia="zh"/>
        </w:rPr>
        <w:t>新一代信息技术、生物、高端装备制造、新材料、数字创意、新能源、新能源汽车、节能环保、航空航天、海洋装备</w:t>
      </w:r>
      <w:r>
        <w:rPr>
          <w:rFonts w:hint="eastAsia" w:ascii="Times New Roman" w:hAnsi="Times New Roman" w:eastAsia="仿宋_GB2312" w:cs="Times New Roman"/>
          <w:sz w:val="32"/>
          <w:szCs w:val="32"/>
          <w:lang w:val="en-US" w:eastAsia="zh-CN"/>
        </w:rPr>
        <w:t>的</w:t>
      </w:r>
      <w:r>
        <w:rPr>
          <w:rFonts w:hint="eastAsia" w:ascii="Times New Roman" w:hAnsi="Times New Roman" w:eastAsia="仿宋_GB2312" w:cs="Times New Roman"/>
          <w:sz w:val="32"/>
          <w:szCs w:val="32"/>
          <w:lang w:val="en-US" w:eastAsia="zh"/>
        </w:rPr>
        <w:t>战略性新兴产业</w:t>
      </w:r>
      <w:r>
        <w:rPr>
          <w:rFonts w:hint="eastAsia" w:ascii="Times New Roman" w:hAnsi="Times New Roman" w:eastAsia="仿宋_GB2312" w:cs="Times New Roman"/>
          <w:sz w:val="32"/>
          <w:szCs w:val="32"/>
          <w:lang w:val="en-US" w:eastAsia="zh-CN"/>
        </w:rPr>
        <w:t>领域</w:t>
      </w:r>
      <w:r>
        <w:rPr>
          <w:rFonts w:hint="eastAsia" w:ascii="Times New Roman" w:hAnsi="Times New Roman" w:eastAsia="仿宋_GB2312" w:cs="Times New Roman"/>
          <w:sz w:val="32"/>
          <w:szCs w:val="32"/>
          <w:lang w:val="en-US" w:eastAsia="zh"/>
        </w:rPr>
        <w:t>企业</w:t>
      </w:r>
      <w:r>
        <w:rPr>
          <w:rFonts w:hint="default" w:ascii="Times New Roman" w:hAnsi="Times New Roman" w:eastAsia="仿宋_GB2312" w:cs="Times New Roman"/>
          <w:sz w:val="32"/>
          <w:szCs w:val="32"/>
          <w:lang w:val="en-US" w:eastAsia="zh-CN"/>
        </w:rPr>
        <w:t>，支持我市企业开展</w:t>
      </w:r>
      <w:r>
        <w:rPr>
          <w:rFonts w:hint="eastAsia" w:ascii="Times New Roman" w:hAnsi="Times New Roman" w:eastAsia="仿宋_GB2312" w:cs="Times New Roman"/>
          <w:sz w:val="32"/>
          <w:szCs w:val="32"/>
          <w:lang w:val="en-US" w:eastAsia="zh-CN"/>
        </w:rPr>
        <w:t>投资并购、上市、</w:t>
      </w:r>
      <w:r>
        <w:rPr>
          <w:rFonts w:hint="default" w:ascii="Times New Roman" w:hAnsi="Times New Roman" w:eastAsia="仿宋_GB2312" w:cs="Times New Roman"/>
          <w:sz w:val="32"/>
          <w:szCs w:val="32"/>
          <w:lang w:val="en-US" w:eastAsia="zh-CN"/>
        </w:rPr>
        <w:t>技术创新、产品开发、研发立项及过程辅助、专利布局等</w:t>
      </w:r>
      <w:r>
        <w:rPr>
          <w:rFonts w:hint="eastAsia" w:ascii="Times New Roman" w:hAnsi="Times New Roman" w:eastAsia="仿宋_GB2312" w:cs="Times New Roman"/>
          <w:sz w:val="32"/>
          <w:szCs w:val="32"/>
          <w:lang w:val="en-US" w:eastAsia="zh-CN"/>
        </w:rPr>
        <w:t>决策的专利导航</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
        </w:rPr>
        <w:t>建立企业专利信息专题数据库，</w:t>
      </w:r>
      <w:r>
        <w:rPr>
          <w:rFonts w:hint="default" w:ascii="Times New Roman" w:hAnsi="Times New Roman" w:eastAsia="仿宋_GB2312" w:cs="Times New Roman"/>
          <w:sz w:val="32"/>
          <w:szCs w:val="32"/>
          <w:lang w:val="en-US" w:eastAsia="zh-CN"/>
        </w:rPr>
        <w:t>利用专利情报信息，推动创新技术开发，增强创新主体运用专利提升核心竞争力的能力，促进企业知识产权创造和运用。</w:t>
      </w:r>
    </w:p>
    <w:p w14:paraId="78672982">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三、项目任务</w:t>
      </w:r>
    </w:p>
    <w:p w14:paraId="7699C481">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640" w:lineRule="exact"/>
        <w:ind w:left="0" w:right="0" w:firstLine="640" w:firstLineChars="200"/>
        <w:jc w:val="left"/>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w:t>
      </w:r>
      <w:r>
        <w:rPr>
          <w:rFonts w:hint="default" w:ascii="Times New Roman" w:hAnsi="Times New Roman" w:eastAsia="仿宋_GB2312" w:cs="Times New Roman"/>
          <w:color w:val="auto"/>
          <w:spacing w:val="-6"/>
          <w:kern w:val="0"/>
          <w:sz w:val="32"/>
          <w:szCs w:val="32"/>
          <w:highlight w:val="none"/>
          <w:lang w:val="en-US" w:eastAsia="zh-CN" w:bidi="ar"/>
        </w:rPr>
        <w:t>每个项目基于技术研发活动专利导航，</w:t>
      </w:r>
      <w:r>
        <w:rPr>
          <w:rFonts w:hint="eastAsia" w:ascii="Times New Roman" w:hAnsi="Times New Roman" w:eastAsia="仿宋_GB2312" w:cs="Times New Roman"/>
          <w:color w:val="auto"/>
          <w:spacing w:val="-6"/>
          <w:kern w:val="0"/>
          <w:sz w:val="32"/>
          <w:szCs w:val="32"/>
          <w:highlight w:val="none"/>
          <w:lang w:val="en-US" w:eastAsia="zh-CN" w:bidi="ar"/>
        </w:rPr>
        <w:t>实施期内</w:t>
      </w:r>
      <w:r>
        <w:rPr>
          <w:rFonts w:hint="default" w:ascii="Times New Roman" w:hAnsi="Times New Roman" w:eastAsia="仿宋_GB2312" w:cs="Times New Roman"/>
          <w:color w:val="auto"/>
          <w:spacing w:val="-6"/>
          <w:kern w:val="0"/>
          <w:sz w:val="32"/>
          <w:szCs w:val="32"/>
          <w:highlight w:val="none"/>
          <w:lang w:eastAsia="zh-CN" w:bidi="ar"/>
        </w:rPr>
        <w:t>在战略性新兴产业领域</w:t>
      </w:r>
      <w:r>
        <w:rPr>
          <w:rFonts w:hint="eastAsia" w:ascii="Times New Roman" w:hAnsi="Times New Roman" w:eastAsia="仿宋_GB2312" w:cs="Times New Roman"/>
          <w:color w:val="auto"/>
          <w:spacing w:val="-6"/>
          <w:kern w:val="0"/>
          <w:sz w:val="32"/>
          <w:szCs w:val="32"/>
          <w:highlight w:val="none"/>
          <w:lang w:eastAsia="zh-CN" w:bidi="ar"/>
        </w:rPr>
        <w:t>（</w:t>
      </w:r>
      <w:r>
        <w:rPr>
          <w:rFonts w:hint="eastAsia" w:ascii="Times New Roman" w:hAnsi="Times New Roman" w:eastAsia="仿宋_GB2312" w:cs="Times New Roman"/>
          <w:sz w:val="32"/>
          <w:szCs w:val="32"/>
          <w:lang w:val="en-US" w:eastAsia="zh"/>
        </w:rPr>
        <w:t>新一代信息技术、生物、高端装备制造、新材料、数字创意、新能源、新能源汽车、节能环保、航空航天、海洋装备</w:t>
      </w:r>
      <w:r>
        <w:rPr>
          <w:rFonts w:hint="eastAsia" w:ascii="Times New Roman" w:hAnsi="Times New Roman" w:eastAsia="仿宋_GB2312" w:cs="Times New Roman"/>
          <w:color w:val="auto"/>
          <w:spacing w:val="-6"/>
          <w:kern w:val="0"/>
          <w:sz w:val="32"/>
          <w:szCs w:val="32"/>
          <w:highlight w:val="none"/>
          <w:lang w:eastAsia="zh-CN" w:bidi="ar"/>
        </w:rPr>
        <w:t>）</w:t>
      </w:r>
      <w:r>
        <w:rPr>
          <w:rFonts w:hint="default" w:ascii="Times New Roman" w:hAnsi="Times New Roman" w:eastAsia="仿宋_GB2312" w:cs="Times New Roman"/>
          <w:color w:val="auto"/>
          <w:spacing w:val="-6"/>
          <w:kern w:val="0"/>
          <w:sz w:val="32"/>
          <w:szCs w:val="32"/>
          <w:highlight w:val="none"/>
          <w:lang w:eastAsia="zh-CN" w:bidi="ar"/>
        </w:rPr>
        <w:t>产出高价值发明专利</w:t>
      </w:r>
      <w:r>
        <w:rPr>
          <w:rFonts w:hint="eastAsia" w:ascii="Times New Roman" w:hAnsi="Times New Roman" w:eastAsia="仿宋_GB2312" w:cs="Times New Roman"/>
          <w:color w:val="auto"/>
          <w:spacing w:val="-6"/>
          <w:kern w:val="0"/>
          <w:sz w:val="32"/>
          <w:szCs w:val="32"/>
          <w:highlight w:val="none"/>
          <w:lang w:val="en-US" w:eastAsia="zh-CN" w:bidi="ar"/>
        </w:rPr>
        <w:t>3</w:t>
      </w:r>
      <w:r>
        <w:rPr>
          <w:rFonts w:hint="default" w:ascii="Times New Roman" w:hAnsi="Times New Roman" w:eastAsia="仿宋_GB2312" w:cs="Times New Roman"/>
          <w:color w:val="auto"/>
          <w:spacing w:val="-6"/>
          <w:kern w:val="0"/>
          <w:sz w:val="32"/>
          <w:szCs w:val="32"/>
          <w:highlight w:val="none"/>
          <w:lang w:eastAsia="zh-CN" w:bidi="ar"/>
        </w:rPr>
        <w:t>件（含）以上</w:t>
      </w:r>
      <w:r>
        <w:rPr>
          <w:rFonts w:hint="eastAsia" w:ascii="Times New Roman" w:hAnsi="Times New Roman" w:eastAsia="仿宋_GB2312" w:cs="Times New Roman"/>
          <w:color w:val="auto"/>
          <w:spacing w:val="-6"/>
          <w:kern w:val="0"/>
          <w:sz w:val="32"/>
          <w:szCs w:val="32"/>
          <w:highlight w:val="none"/>
          <w:lang w:eastAsia="zh-CN" w:bidi="ar"/>
        </w:rPr>
        <w:t>、</w:t>
      </w:r>
      <w:r>
        <w:rPr>
          <w:rFonts w:hint="eastAsia" w:ascii="Times New Roman" w:hAnsi="Times New Roman" w:eastAsia="仿宋_GB2312" w:cs="Times New Roman"/>
          <w:color w:val="auto"/>
          <w:spacing w:val="-6"/>
          <w:kern w:val="0"/>
          <w:sz w:val="32"/>
          <w:szCs w:val="32"/>
          <w:highlight w:val="none"/>
          <w:lang w:val="en-US" w:eastAsia="zh-CN" w:bidi="ar"/>
        </w:rPr>
        <w:t>PCT专利申请1件（含）以上</w:t>
      </w:r>
      <w:r>
        <w:rPr>
          <w:rFonts w:hint="default" w:ascii="Times New Roman" w:hAnsi="Times New Roman" w:eastAsia="仿宋_GB2312" w:cs="Times New Roman"/>
          <w:color w:val="auto"/>
          <w:spacing w:val="-6"/>
          <w:kern w:val="0"/>
          <w:sz w:val="32"/>
          <w:szCs w:val="32"/>
          <w:highlight w:val="none"/>
          <w:lang w:eastAsia="zh-CN" w:bidi="ar"/>
        </w:rPr>
        <w:t>。</w:t>
      </w:r>
    </w:p>
    <w:p w14:paraId="74BDFAFF">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w:t>
      </w:r>
      <w:r>
        <w:rPr>
          <w:rFonts w:hint="default" w:ascii="Times New Roman" w:hAnsi="Times New Roman" w:eastAsia="仿宋_GB2312" w:cs="Times New Roman"/>
          <w:color w:val="auto"/>
          <w:spacing w:val="-6"/>
          <w:kern w:val="0"/>
          <w:sz w:val="32"/>
          <w:szCs w:val="32"/>
          <w:highlight w:val="none"/>
          <w:lang w:val="en-US" w:eastAsia="zh-CN" w:bidi="ar"/>
        </w:rPr>
        <w:t>按照《国家专利导航指南》和《广东数字化时代专利导航工作指南》要求，</w:t>
      </w:r>
      <w:r>
        <w:rPr>
          <w:rFonts w:hint="default" w:ascii="Times New Roman" w:hAnsi="Times New Roman" w:eastAsia="仿宋_GB2312" w:cs="Times New Roman"/>
          <w:sz w:val="32"/>
          <w:szCs w:val="32"/>
          <w:lang w:val="en-US" w:eastAsia="zh-CN"/>
        </w:rPr>
        <w:t>围绕企业</w:t>
      </w:r>
      <w:r>
        <w:rPr>
          <w:rFonts w:hint="eastAsia" w:ascii="Times New Roman" w:hAnsi="Times New Roman" w:eastAsia="仿宋_GB2312" w:cs="Times New Roman"/>
          <w:sz w:val="32"/>
          <w:szCs w:val="32"/>
          <w:lang w:val="en-US" w:eastAsia="zh-CN"/>
        </w:rPr>
        <w:t>至少2个关键核心技术领域开展专利导航，形成专利导航成果。</w:t>
      </w:r>
    </w:p>
    <w:p w14:paraId="0352ABF7">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auto"/>
          <w:spacing w:val="-6"/>
          <w:kern w:val="0"/>
          <w:sz w:val="32"/>
          <w:szCs w:val="32"/>
          <w:highlight w:val="none"/>
          <w:lang w:val="en-US" w:eastAsia="zh-CN" w:bidi="ar"/>
        </w:rPr>
      </w:pPr>
      <w:r>
        <w:rPr>
          <w:rFonts w:hint="eastAsia" w:ascii="Times New Roman" w:hAnsi="Times New Roman" w:eastAsia="仿宋_GB2312" w:cs="Times New Roman"/>
          <w:sz w:val="32"/>
          <w:szCs w:val="32"/>
          <w:lang w:val="en-US" w:eastAsia="zh-CN"/>
        </w:rPr>
        <w:t>（三）</w:t>
      </w:r>
      <w:r>
        <w:rPr>
          <w:rFonts w:hint="eastAsia" w:ascii="Times New Roman" w:hAnsi="Times New Roman" w:eastAsia="仿宋_GB2312" w:cs="Times New Roman"/>
          <w:color w:val="auto"/>
          <w:spacing w:val="-6"/>
          <w:kern w:val="0"/>
          <w:sz w:val="32"/>
          <w:szCs w:val="32"/>
          <w:highlight w:val="none"/>
          <w:lang w:val="en-US" w:eastAsia="zh" w:bidi="ar"/>
        </w:rPr>
        <w:t>建立企业专利信息专题数据库1套，具备在线展示、查询和更新功能</w:t>
      </w:r>
      <w:r>
        <w:rPr>
          <w:rFonts w:hint="eastAsia" w:ascii="Times New Roman" w:hAnsi="Times New Roman" w:eastAsia="仿宋_GB2312" w:cs="Times New Roman"/>
          <w:color w:val="auto"/>
          <w:spacing w:val="-6"/>
          <w:kern w:val="0"/>
          <w:sz w:val="32"/>
          <w:szCs w:val="32"/>
          <w:highlight w:val="none"/>
          <w:lang w:val="en-US" w:eastAsia="zh-CN" w:bidi="ar"/>
        </w:rPr>
        <w:t>。</w:t>
      </w:r>
    </w:p>
    <w:p w14:paraId="7DC316BC">
      <w:pPr>
        <w:pageBreakBefore w:val="0"/>
        <w:widowControl w:val="0"/>
        <w:kinsoku/>
        <w:wordWrap/>
        <w:overflowPunct/>
        <w:topLinePunct w:val="0"/>
        <w:autoSpaceDE/>
        <w:autoSpaceDN/>
        <w:bidi w:val="0"/>
        <w:adjustRightInd/>
        <w:snapToGrid/>
        <w:spacing w:line="600" w:lineRule="exact"/>
        <w:ind w:firstLine="616" w:firstLineChars="200"/>
        <w:textAlignment w:val="auto"/>
        <w:rPr>
          <w:rStyle w:val="17"/>
          <w:rFonts w:hint="eastAsia" w:ascii="Times New Roman" w:hAnsi="Times New Roman" w:eastAsia="仿宋_GB2312" w:cs="仿宋_GB2312"/>
          <w:sz w:val="24"/>
          <w:szCs w:val="24"/>
          <w:highlight w:val="none"/>
          <w:lang w:val="en-US" w:eastAsia="zh-CN" w:bidi="ar"/>
        </w:rPr>
      </w:pPr>
      <w:r>
        <w:rPr>
          <w:rFonts w:hint="default" w:ascii="Times New Roman" w:hAnsi="Times New Roman" w:eastAsia="仿宋_GB2312" w:cs="Times New Roman"/>
          <w:color w:val="auto"/>
          <w:spacing w:val="-6"/>
          <w:kern w:val="0"/>
          <w:sz w:val="32"/>
          <w:szCs w:val="32"/>
          <w:highlight w:val="none"/>
          <w:lang w:val="en-US" w:eastAsia="zh-CN" w:bidi="ar"/>
        </w:rPr>
        <w:t>（</w:t>
      </w:r>
      <w:r>
        <w:rPr>
          <w:rFonts w:hint="eastAsia" w:ascii="Times New Roman" w:hAnsi="Times New Roman" w:eastAsia="仿宋_GB2312" w:cs="Times New Roman"/>
          <w:color w:val="auto"/>
          <w:spacing w:val="-6"/>
          <w:kern w:val="0"/>
          <w:sz w:val="32"/>
          <w:szCs w:val="32"/>
          <w:highlight w:val="none"/>
          <w:lang w:val="en-US" w:eastAsia="zh-CN" w:bidi="ar"/>
        </w:rPr>
        <w:t>四</w:t>
      </w:r>
      <w:r>
        <w:rPr>
          <w:rFonts w:hint="default" w:ascii="Times New Roman" w:hAnsi="Times New Roman" w:eastAsia="仿宋_GB2312" w:cs="Times New Roman"/>
          <w:color w:val="auto"/>
          <w:spacing w:val="-6"/>
          <w:kern w:val="0"/>
          <w:sz w:val="32"/>
          <w:szCs w:val="32"/>
          <w:highlight w:val="none"/>
          <w:lang w:val="en-US" w:eastAsia="zh-CN" w:bidi="ar"/>
        </w:rPr>
        <w:t>）</w:t>
      </w:r>
      <w:r>
        <w:rPr>
          <w:rFonts w:hint="eastAsia" w:ascii="Times New Roman" w:hAnsi="Times New Roman" w:eastAsia="仿宋_GB2312" w:cs="Times New Roman"/>
          <w:sz w:val="32"/>
          <w:szCs w:val="32"/>
          <w:lang w:val="en-US" w:eastAsia="zh"/>
        </w:rPr>
        <w:t>形成企业专利导航分析报告和研究成果核心精华专报各1份</w:t>
      </w:r>
      <w:r>
        <w:rPr>
          <w:rFonts w:hint="eastAsia" w:ascii="Times New Roman" w:hAnsi="Times New Roman" w:eastAsia="仿宋_GB2312" w:cs="Times New Roman"/>
          <w:sz w:val="32"/>
          <w:szCs w:val="32"/>
          <w:lang w:val="en-US" w:eastAsia="zh-CN"/>
        </w:rPr>
        <w:t>。</w:t>
      </w:r>
    </w:p>
    <w:p w14:paraId="20FC2018">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五</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
        </w:rPr>
        <w:t>开展专利导航专题培训活动不少于2场，每场活动参加单位不少于10家</w:t>
      </w:r>
      <w:r>
        <w:rPr>
          <w:rFonts w:hint="eastAsia" w:ascii="Times New Roman" w:hAnsi="Times New Roman" w:eastAsia="仿宋_GB2312" w:cs="Times New Roman"/>
          <w:sz w:val="32"/>
          <w:szCs w:val="32"/>
          <w:lang w:val="en-US" w:eastAsia="zh-CN"/>
        </w:rPr>
        <w:t>（包括与企业发展相关的创新主体）</w:t>
      </w:r>
      <w:r>
        <w:rPr>
          <w:rFonts w:hint="eastAsia" w:ascii="Times New Roman" w:hAnsi="Times New Roman" w:eastAsia="仿宋_GB2312" w:cs="Times New Roman"/>
          <w:sz w:val="32"/>
          <w:szCs w:val="32"/>
          <w:lang w:val="en-US" w:eastAsia="zh"/>
        </w:rPr>
        <w:t>，人数不少于20人</w:t>
      </w:r>
      <w:r>
        <w:rPr>
          <w:rFonts w:hint="default" w:ascii="Times New Roman" w:hAnsi="Times New Roman" w:eastAsia="仿宋_GB2312" w:cs="Times New Roman"/>
          <w:sz w:val="32"/>
          <w:szCs w:val="32"/>
          <w:lang w:val="en-US" w:eastAsia="zh-CN"/>
        </w:rPr>
        <w:t>。</w:t>
      </w:r>
    </w:p>
    <w:p w14:paraId="43943EEB">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六</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
        </w:rPr>
        <w:t>组织开展专利导航成果发布活动1次，面向我省相关的创新主体和知识产权服务机构发布，参加的创新主体不少于40家</w:t>
      </w:r>
      <w:r>
        <w:rPr>
          <w:rFonts w:hint="default" w:ascii="Times New Roman" w:hAnsi="Times New Roman" w:eastAsia="仿宋_GB2312" w:cs="Times New Roman"/>
          <w:sz w:val="32"/>
          <w:szCs w:val="32"/>
          <w:lang w:val="en-US" w:eastAsia="zh-CN"/>
        </w:rPr>
        <w:t>。</w:t>
      </w:r>
    </w:p>
    <w:p w14:paraId="26EC2BDE">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七</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
        </w:rPr>
        <w:t>将企业专利导航成果，在国家专利导航综合服务平台上完成备案。</w:t>
      </w:r>
    </w:p>
    <w:p w14:paraId="72819370">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备注：前述（二）、（三）、</w:t>
      </w:r>
      <w:r>
        <w:rPr>
          <w:rFonts w:hint="eastAsia" w:ascii="Times New Roman" w:hAnsi="Times New Roman" w:eastAsia="仿宋_GB2312" w:cs="Times New Roman"/>
          <w:sz w:val="32"/>
          <w:szCs w:val="32"/>
          <w:highlight w:val="none"/>
          <w:lang w:val="en-US" w:eastAsia="zh-CN"/>
        </w:rPr>
        <w:t>（四）、</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七</w:t>
      </w:r>
      <w:r>
        <w:rPr>
          <w:rFonts w:hint="default" w:ascii="Times New Roman" w:hAnsi="Times New Roman" w:eastAsia="仿宋_GB2312" w:cs="Times New Roman"/>
          <w:sz w:val="32"/>
          <w:szCs w:val="32"/>
          <w:highlight w:val="none"/>
          <w:lang w:val="en-US" w:eastAsia="zh-CN"/>
        </w:rPr>
        <w:t>）所涉专利导航数据、专利导航报告应按照《企业运营类专利导航项目实施导则（暂行）》（附件3）、《专利导航指南》（GB/T39551-2020）国家标准（附件4）来编写。</w:t>
      </w:r>
    </w:p>
    <w:p w14:paraId="52D213D6">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四、申报要求</w:t>
      </w:r>
    </w:p>
    <w:p w14:paraId="479D968B">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b/>
          <w:bCs/>
          <w:sz w:val="32"/>
          <w:szCs w:val="32"/>
          <w:lang w:val="en-US" w:eastAsia="zh-CN"/>
        </w:rPr>
      </w:pPr>
      <w:r>
        <w:rPr>
          <w:rFonts w:hint="default" w:ascii="Times New Roman" w:hAnsi="Times New Roman" w:eastAsia="仿宋_GB2312" w:cs="Times New Roman"/>
          <w:sz w:val="32"/>
          <w:szCs w:val="32"/>
          <w:lang w:val="en-US" w:eastAsia="zh-CN"/>
        </w:rPr>
        <w:t>（一）申报主体为在东莞市注册的具有独立法人资格，同时开展企业运营类专利导航</w:t>
      </w:r>
      <w:r>
        <w:rPr>
          <w:rFonts w:hint="eastAsia" w:ascii="Times New Roman" w:hAnsi="Times New Roman" w:eastAsia="仿宋_GB2312" w:cs="Times New Roman"/>
          <w:sz w:val="32"/>
          <w:szCs w:val="32"/>
          <w:lang w:val="en-US" w:eastAsia="zh-CN"/>
        </w:rPr>
        <w:t>产业领域方向限定为：</w:t>
      </w:r>
      <w:r>
        <w:rPr>
          <w:rFonts w:hint="eastAsia" w:ascii="Times New Roman" w:hAnsi="Times New Roman" w:eastAsia="仿宋_GB2312" w:cs="Times New Roman"/>
          <w:sz w:val="32"/>
          <w:szCs w:val="32"/>
          <w:lang w:val="en-US" w:eastAsia="zh"/>
        </w:rPr>
        <w:t>新一代信息技术、生物、高端装备制造、新材料、数字创意、新能源、新能源汽车、节能环保、航空航天、海洋装备</w:t>
      </w:r>
      <w:r>
        <w:rPr>
          <w:rFonts w:hint="eastAsia" w:ascii="Times New Roman" w:hAnsi="Times New Roman" w:eastAsia="仿宋_GB2312" w:cs="Times New Roman"/>
          <w:sz w:val="32"/>
          <w:szCs w:val="32"/>
          <w:lang w:val="en-US" w:eastAsia="zh-CN"/>
        </w:rPr>
        <w:t>的</w:t>
      </w:r>
      <w:r>
        <w:rPr>
          <w:rFonts w:hint="eastAsia" w:ascii="Times New Roman" w:hAnsi="Times New Roman" w:eastAsia="仿宋_GB2312" w:cs="Times New Roman"/>
          <w:sz w:val="32"/>
          <w:szCs w:val="32"/>
          <w:lang w:val="en-US" w:eastAsia="zh"/>
        </w:rPr>
        <w:t>战略性新兴产业</w:t>
      </w:r>
      <w:r>
        <w:rPr>
          <w:rFonts w:hint="eastAsia" w:ascii="Times New Roman" w:hAnsi="Times New Roman" w:eastAsia="仿宋_GB2312" w:cs="Times New Roman"/>
          <w:sz w:val="32"/>
          <w:szCs w:val="32"/>
          <w:lang w:val="en-US" w:eastAsia="zh-CN"/>
        </w:rPr>
        <w:t>领域</w:t>
      </w:r>
      <w:r>
        <w:rPr>
          <w:rFonts w:hint="default" w:ascii="Times New Roman" w:hAnsi="Times New Roman" w:eastAsia="仿宋_GB2312" w:cs="Times New Roman"/>
          <w:sz w:val="32"/>
          <w:szCs w:val="32"/>
          <w:lang w:val="en-US" w:eastAsia="zh-CN"/>
        </w:rPr>
        <w:t>（上述产业集群细分情况详阅附件2），</w:t>
      </w:r>
      <w:r>
        <w:rPr>
          <w:rFonts w:hint="default" w:ascii="Times New Roman" w:hAnsi="Times New Roman" w:eastAsia="仿宋_GB2312" w:cs="Times New Roman"/>
          <w:b/>
          <w:bCs/>
          <w:sz w:val="32"/>
          <w:szCs w:val="32"/>
          <w:lang w:val="en-US" w:eastAsia="zh-CN"/>
        </w:rPr>
        <w:t>本项目不接受联合申报</w:t>
      </w:r>
      <w:r>
        <w:rPr>
          <w:rFonts w:hint="eastAsia" w:ascii="Times New Roman" w:hAnsi="Times New Roman" w:eastAsia="仿宋_GB2312" w:cs="Times New Roman"/>
          <w:b/>
          <w:bCs/>
          <w:sz w:val="32"/>
          <w:szCs w:val="32"/>
          <w:lang w:val="en-US" w:eastAsia="zh-CN"/>
        </w:rPr>
        <w:t>。</w:t>
      </w:r>
    </w:p>
    <w:p w14:paraId="79726867">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（二）已承担2026</w:t>
      </w:r>
      <w:r>
        <w:rPr>
          <w:rFonts w:hint="default" w:ascii="Times New Roman" w:hAnsi="Times New Roman" w:eastAsia="仿宋_GB2312" w:cs="Times New Roman"/>
          <w:sz w:val="32"/>
          <w:szCs w:val="32"/>
          <w:lang w:val="en-US" w:eastAsia="zh-CN"/>
        </w:rPr>
        <w:t>年度广东省企业经营研发活动专利导航项目</w:t>
      </w:r>
      <w:r>
        <w:rPr>
          <w:rFonts w:hint="eastAsia" w:ascii="Times New Roman" w:hAnsi="Times New Roman" w:eastAsia="仿宋_GB2312" w:cs="Times New Roman"/>
          <w:sz w:val="32"/>
          <w:szCs w:val="32"/>
          <w:lang w:val="en-US" w:eastAsia="zh-CN"/>
        </w:rPr>
        <w:t>（东莞市）的申报主体，不得参与本项目申报；申报2027年广东省高价值专利培育布局项目（东莞市）的主体，不得同时申报2027年广东省企业经营研发活动专利导航项目（东莞市），两类项目仅可择一申报。</w:t>
      </w:r>
    </w:p>
    <w:p w14:paraId="47C7A74E">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（三）申报主体应符合以下条件之一：</w:t>
      </w:r>
    </w:p>
    <w:p w14:paraId="7A41F429">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已被认定为国家级或省级新兴产业创新中心、制造业创新中心、技术创新中心、产学研协同创新中心、工程技术研究中心、工程实验室、重点实验室、省级企业技术中心等（以下简称各类创新中心，需经国家相关部委或省级厅局认定）；</w:t>
      </w:r>
    </w:p>
    <w:p w14:paraId="16A73171">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2.曾获得中国专利奖、广东省专利奖、国家技术发明奖、广东省技术发明奖的；</w:t>
      </w:r>
    </w:p>
    <w:p w14:paraId="44DF40ED">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3.曾获得国家知识产权示范（优势）企业、国家专精特新“小巨人”、广东省知识产权示范企业的。</w:t>
      </w:r>
    </w:p>
    <w:p w14:paraId="67224642">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四</w:t>
      </w:r>
      <w:r>
        <w:rPr>
          <w:rFonts w:hint="default" w:ascii="Times New Roman" w:hAnsi="Times New Roman" w:eastAsia="仿宋_GB2312" w:cs="Times New Roman"/>
          <w:sz w:val="32"/>
          <w:szCs w:val="32"/>
          <w:lang w:val="en-US" w:eastAsia="zh-CN"/>
        </w:rPr>
        <w:t>）同等条件下，优先资助通过知识产权管理规范标准认证且证书在有效期内的申报主体。</w:t>
      </w:r>
    </w:p>
    <w:p w14:paraId="30859AD3">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五、实施周期及支持方式</w:t>
      </w:r>
    </w:p>
    <w:p w14:paraId="1DB67E33">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color w:val="auto"/>
          <w:sz w:val="32"/>
          <w:szCs w:val="32"/>
          <w:highlight w:val="none"/>
          <w:lang w:val="en-US" w:eastAsia="zh-CN"/>
        </w:rPr>
        <w:t>本次申报及评审结果仅将列入东莞市市场监管局202</w:t>
      </w:r>
      <w:r>
        <w:rPr>
          <w:rFonts w:hint="eastAsia" w:ascii="Times New Roman" w:hAnsi="Times New Roman" w:eastAsia="仿宋_GB2312" w:cs="Times New Roman"/>
          <w:b w:val="0"/>
          <w:bCs w:val="0"/>
          <w:color w:val="auto"/>
          <w:sz w:val="32"/>
          <w:szCs w:val="32"/>
          <w:highlight w:val="none"/>
          <w:lang w:val="en-US" w:eastAsia="zh-CN"/>
        </w:rPr>
        <w:t>7</w:t>
      </w:r>
      <w:r>
        <w:rPr>
          <w:rFonts w:hint="default" w:ascii="Times New Roman" w:hAnsi="Times New Roman" w:eastAsia="仿宋_GB2312" w:cs="Times New Roman"/>
          <w:b w:val="0"/>
          <w:bCs w:val="0"/>
          <w:color w:val="auto"/>
          <w:sz w:val="32"/>
          <w:szCs w:val="32"/>
          <w:highlight w:val="none"/>
          <w:lang w:val="en-US" w:eastAsia="zh-CN"/>
        </w:rPr>
        <w:t>年项目入库名单，</w:t>
      </w:r>
      <w:r>
        <w:rPr>
          <w:rFonts w:hint="eastAsia" w:ascii="Times New Roman" w:hAnsi="Times New Roman" w:eastAsia="仿宋_GB2312" w:cs="Times New Roman"/>
          <w:b w:val="0"/>
          <w:bCs w:val="0"/>
          <w:color w:val="auto"/>
          <w:sz w:val="32"/>
          <w:szCs w:val="32"/>
          <w:highlight w:val="none"/>
          <w:lang w:val="en-US" w:eastAsia="zh-CN"/>
        </w:rPr>
        <w:t>市市场监管局</w:t>
      </w:r>
      <w:bookmarkStart w:id="0" w:name="_GoBack"/>
      <w:bookmarkEnd w:id="0"/>
      <w:r>
        <w:rPr>
          <w:rFonts w:hint="default" w:ascii="Times New Roman" w:hAnsi="Times New Roman" w:eastAsia="仿宋_GB2312" w:cs="Times New Roman"/>
          <w:b w:val="0"/>
          <w:bCs w:val="0"/>
          <w:color w:val="auto"/>
          <w:sz w:val="32"/>
          <w:szCs w:val="32"/>
          <w:highlight w:val="none"/>
          <w:lang w:val="en-US" w:eastAsia="zh-CN"/>
        </w:rPr>
        <w:t>将根据项目预算等实际情况综合确定本次评审项目是否立项。</w:t>
      </w:r>
    </w:p>
    <w:p w14:paraId="56E7CAD6">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（二）项目实施周期自立项通知下达之日起至202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年12月31日（如合同另有约定的，按合同约定实施）。每个项目计划支持额度</w:t>
      </w:r>
      <w:r>
        <w:rPr>
          <w:rFonts w:hint="eastAsia" w:ascii="Times New Roman" w:hAnsi="Times New Roman" w:eastAsia="仿宋_GB2312" w:cs="Times New Roman"/>
          <w:sz w:val="32"/>
          <w:szCs w:val="32"/>
          <w:lang w:val="en-US" w:eastAsia="zh-CN"/>
        </w:rPr>
        <w:t>最高不超过30</w:t>
      </w:r>
      <w:r>
        <w:rPr>
          <w:rFonts w:hint="default" w:ascii="Times New Roman" w:hAnsi="Times New Roman" w:eastAsia="仿宋_GB2312" w:cs="Times New Roman"/>
          <w:sz w:val="32"/>
          <w:szCs w:val="32"/>
          <w:lang w:val="en-US" w:eastAsia="zh-CN"/>
        </w:rPr>
        <w:t>万元，具体资助项目数以省市场监管局最终下达文件为准。</w:t>
      </w:r>
    </w:p>
    <w:p w14:paraId="544E99CF">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六、申报材料</w:t>
      </w:r>
    </w:p>
    <w:p w14:paraId="05A4C010">
      <w:pPr>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（一）202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年广东省企业经营研发活动专利导航项目</w:t>
      </w:r>
      <w:r>
        <w:rPr>
          <w:rFonts w:hint="eastAsia" w:ascii="Times New Roman" w:hAnsi="Times New Roman" w:eastAsia="仿宋_GB2312" w:cs="Times New Roman"/>
          <w:sz w:val="32"/>
          <w:szCs w:val="32"/>
          <w:lang w:val="en-US" w:eastAsia="zh-CN"/>
        </w:rPr>
        <w:t>（东莞市）</w:t>
      </w:r>
      <w:r>
        <w:rPr>
          <w:rFonts w:hint="default" w:ascii="Times New Roman" w:hAnsi="Times New Roman" w:eastAsia="仿宋_GB2312" w:cs="Times New Roman"/>
          <w:sz w:val="32"/>
          <w:szCs w:val="32"/>
          <w:lang w:val="en-US" w:eastAsia="zh-CN"/>
        </w:rPr>
        <w:t>申报书（附件1）；</w:t>
      </w:r>
    </w:p>
    <w:p w14:paraId="093EFFA6">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营业执照复印件或机构法人资格证书；</w:t>
      </w:r>
    </w:p>
    <w:p w14:paraId="3B241886">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银行开户信息相关材料；</w:t>
      </w:r>
    </w:p>
    <w:p w14:paraId="34CE4C2D">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获得国家部委或省级厅局认定各类创新中心，中国专利奖、广东省专利奖、国家技术发明奖、广东省技术发明奖，国家专精特新“小巨人”认定，国家知识产权示范（优势）企业、广东省知识产权示范企业等相关证明文件；</w:t>
      </w:r>
    </w:p>
    <w:p w14:paraId="33F3C968">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项目团队人员名单，参保单位社保缴纳证明，学历、职称、职业资格资质等佐证材料；</w:t>
      </w:r>
    </w:p>
    <w:p w14:paraId="2C157D2E">
      <w:pPr>
        <w:pageBreakBefore w:val="0"/>
        <w:widowControl w:val="0"/>
        <w:numPr>
          <w:ilvl w:val="0"/>
          <w:numId w:val="4"/>
        </w:numPr>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其他证明符合申报条件、申报优势的材料（例如：相关荣誉、贯标认证证书、专利产品转化应用、项目经验、研发创新、智力支持等优势佐证材料）。</w:t>
      </w:r>
    </w:p>
    <w:p w14:paraId="4A6E8932">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40" w:lineRule="exact"/>
        <w:ind w:left="0" w:right="0" w:firstLine="641"/>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上述材料均需加盖公章</w:t>
      </w:r>
      <w:r>
        <w:rPr>
          <w:rFonts w:hint="eastAsia" w:ascii="Times New Roman" w:hAnsi="Times New Roman" w:eastAsia="仿宋_GB2312" w:cs="Times New Roman"/>
          <w:sz w:val="32"/>
          <w:szCs w:val="32"/>
          <w:lang w:val="en-US" w:eastAsia="zh-CN"/>
        </w:rPr>
        <w:t>后</w:t>
      </w:r>
      <w:r>
        <w:rPr>
          <w:rFonts w:hint="default" w:ascii="Times New Roman" w:hAnsi="Times New Roman" w:eastAsia="仿宋_GB2312" w:cs="Times New Roman"/>
          <w:i w:val="0"/>
          <w:iCs w:val="0"/>
          <w:caps w:val="0"/>
          <w:color w:val="auto"/>
          <w:spacing w:val="0"/>
          <w:sz w:val="32"/>
          <w:szCs w:val="32"/>
        </w:rPr>
        <w:t>使用PDF格式</w:t>
      </w:r>
      <w:r>
        <w:rPr>
          <w:rFonts w:hint="eastAsia" w:ascii="Times New Roman" w:hAnsi="Times New Roman" w:eastAsia="仿宋_GB2312" w:cs="Times New Roman"/>
          <w:i w:val="0"/>
          <w:iCs w:val="0"/>
          <w:caps w:val="0"/>
          <w:color w:val="auto"/>
          <w:spacing w:val="0"/>
          <w:sz w:val="32"/>
          <w:szCs w:val="32"/>
          <w:lang w:eastAsia="zh-CN"/>
        </w:rPr>
        <w:t>上传</w:t>
      </w:r>
      <w:r>
        <w:rPr>
          <w:rFonts w:hint="default" w:ascii="Times New Roman" w:hAnsi="Times New Roman" w:eastAsia="仿宋_GB2312" w:cs="Times New Roman"/>
          <w:i w:val="0"/>
          <w:iCs w:val="0"/>
          <w:caps w:val="0"/>
          <w:color w:val="auto"/>
          <w:spacing w:val="0"/>
          <w:sz w:val="32"/>
          <w:szCs w:val="32"/>
        </w:rPr>
        <w:t>，同一项材料应当扫描成一个文件，不得拆分扫描</w:t>
      </w:r>
      <w:r>
        <w:rPr>
          <w:rFonts w:hint="default" w:ascii="Times New Roman" w:hAnsi="Times New Roman" w:eastAsia="仿宋_GB2312" w:cs="Times New Roman"/>
          <w:i w:val="0"/>
          <w:iCs w:val="0"/>
          <w:caps w:val="0"/>
          <w:color w:val="auto"/>
          <w:spacing w:val="0"/>
          <w:sz w:val="32"/>
          <w:szCs w:val="32"/>
          <w:lang w:eastAsia="zh-CN"/>
        </w:rPr>
        <w:t>。</w:t>
      </w:r>
    </w:p>
    <w:p w14:paraId="4D87E72E">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七、联系人及方式</w:t>
      </w:r>
    </w:p>
    <w:p w14:paraId="5C83E58F">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640" w:firstLineChars="200"/>
        <w:jc w:val="left"/>
        <w:textAlignment w:val="auto"/>
        <w:rPr>
          <w:rFonts w:hint="default" w:ascii="Times New Roman" w:hAnsi="Times New Roman" w:eastAsia="仿宋_GB2312" w:cs="Times New Roman"/>
          <w:i w:val="0"/>
          <w:iCs w:val="0"/>
          <w:caps w:val="0"/>
          <w:color w:val="auto"/>
          <w:spacing w:val="0"/>
          <w:sz w:val="32"/>
          <w:szCs w:val="32"/>
          <w:lang w:val="en-US" w:eastAsia="zh-CN"/>
        </w:rPr>
      </w:pPr>
      <w:r>
        <w:rPr>
          <w:rFonts w:hint="default" w:ascii="Times New Roman" w:hAnsi="Times New Roman" w:eastAsia="仿宋_GB2312" w:cs="Times New Roman"/>
          <w:i w:val="0"/>
          <w:iCs w:val="0"/>
          <w:caps w:val="0"/>
          <w:color w:val="auto"/>
          <w:spacing w:val="0"/>
          <w:sz w:val="32"/>
          <w:szCs w:val="32"/>
          <w:lang w:eastAsia="zh-CN"/>
        </w:rPr>
        <w:t>（一）</w:t>
      </w:r>
      <w:r>
        <w:rPr>
          <w:rFonts w:hint="default" w:ascii="Times New Roman" w:hAnsi="Times New Roman" w:eastAsia="仿宋_GB2312" w:cs="Times New Roman"/>
          <w:i w:val="0"/>
          <w:iCs w:val="0"/>
          <w:caps w:val="0"/>
          <w:color w:val="auto"/>
          <w:spacing w:val="0"/>
          <w:sz w:val="32"/>
          <w:szCs w:val="32"/>
          <w:lang w:val="en-US" w:eastAsia="zh-CN"/>
        </w:rPr>
        <w:t>业务咨询</w:t>
      </w:r>
    </w:p>
    <w:p w14:paraId="1A662A26">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联系人：东莞市市场监管局知识产权促进科林莉丽，0769-26986635；</w:t>
      </w:r>
    </w:p>
    <w:p w14:paraId="115C8165">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640" w:firstLineChars="200"/>
        <w:jc w:val="left"/>
        <w:textAlignment w:val="auto"/>
        <w:rPr>
          <w:rFonts w:hint="default" w:ascii="Times New Roman" w:hAnsi="Times New Roman" w:eastAsia="仿宋_GB2312" w:cs="Times New Roman"/>
          <w:i w:val="0"/>
          <w:iCs w:val="0"/>
          <w:caps w:val="0"/>
          <w:color w:val="auto"/>
          <w:spacing w:val="0"/>
          <w:sz w:val="32"/>
          <w:szCs w:val="32"/>
          <w:lang w:eastAsia="zh-CN"/>
        </w:rPr>
      </w:pPr>
      <w:r>
        <w:rPr>
          <w:rFonts w:hint="default" w:ascii="Times New Roman" w:hAnsi="Times New Roman" w:eastAsia="仿宋_GB2312" w:cs="Times New Roman"/>
          <w:sz w:val="32"/>
          <w:szCs w:val="32"/>
          <w:lang w:val="en-US" w:eastAsia="zh-CN"/>
        </w:rPr>
        <w:t>地址：东莞市南城街道东莞大道南城段112号6楼612室。</w:t>
      </w:r>
    </w:p>
    <w:p w14:paraId="53759F6D">
      <w:pPr>
        <w:pStyle w:val="7"/>
        <w:keepNext w:val="0"/>
        <w:keepLines w:val="0"/>
        <w:pageBreakBefore w:val="0"/>
        <w:widowControl w:val="0"/>
        <w:numPr>
          <w:ilvl w:val="0"/>
          <w:numId w:val="5"/>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640" w:firstLineChars="200"/>
        <w:jc w:val="left"/>
        <w:textAlignment w:val="auto"/>
        <w:rPr>
          <w:rFonts w:hint="default" w:ascii="Times New Roman" w:hAnsi="Times New Roman" w:eastAsia="仿宋_GB2312" w:cs="Times New Roman"/>
          <w:i w:val="0"/>
          <w:iCs w:val="0"/>
          <w:caps w:val="0"/>
          <w:color w:val="auto"/>
          <w:spacing w:val="0"/>
          <w:sz w:val="32"/>
          <w:szCs w:val="32"/>
          <w:lang w:eastAsia="zh-CN"/>
        </w:rPr>
      </w:pPr>
      <w:r>
        <w:rPr>
          <w:rFonts w:hint="eastAsia" w:ascii="Times New Roman" w:hAnsi="Times New Roman" w:eastAsia="仿宋_GB2312" w:cs="Times New Roman"/>
          <w:i w:val="0"/>
          <w:iCs w:val="0"/>
          <w:caps w:val="0"/>
          <w:color w:val="auto"/>
          <w:spacing w:val="0"/>
          <w:sz w:val="32"/>
          <w:szCs w:val="32"/>
          <w:lang w:eastAsia="zh-CN"/>
        </w:rPr>
        <w:t>“</w:t>
      </w:r>
      <w:r>
        <w:rPr>
          <w:rFonts w:hint="default" w:ascii="Times New Roman" w:hAnsi="Times New Roman" w:eastAsia="仿宋_GB2312" w:cs="Times New Roman"/>
          <w:i w:val="0"/>
          <w:iCs w:val="0"/>
          <w:caps w:val="0"/>
          <w:color w:val="auto"/>
          <w:spacing w:val="0"/>
          <w:sz w:val="32"/>
          <w:szCs w:val="32"/>
          <w:lang w:eastAsia="zh-CN"/>
        </w:rPr>
        <w:t>企莞家</w:t>
      </w:r>
      <w:r>
        <w:rPr>
          <w:rFonts w:hint="eastAsia" w:ascii="Times New Roman" w:hAnsi="Times New Roman" w:eastAsia="仿宋_GB2312" w:cs="Times New Roman"/>
          <w:i w:val="0"/>
          <w:iCs w:val="0"/>
          <w:caps w:val="0"/>
          <w:color w:val="auto"/>
          <w:spacing w:val="0"/>
          <w:sz w:val="32"/>
          <w:szCs w:val="32"/>
          <w:lang w:eastAsia="zh-CN"/>
        </w:rPr>
        <w:t>”</w:t>
      </w:r>
      <w:r>
        <w:rPr>
          <w:rFonts w:hint="default" w:ascii="Times New Roman" w:hAnsi="Times New Roman" w:eastAsia="仿宋_GB2312" w:cs="Times New Roman"/>
          <w:i w:val="0"/>
          <w:iCs w:val="0"/>
          <w:caps w:val="0"/>
          <w:color w:val="auto"/>
          <w:spacing w:val="0"/>
          <w:sz w:val="32"/>
          <w:szCs w:val="32"/>
          <w:lang w:eastAsia="zh-CN"/>
        </w:rPr>
        <w:t>平台技术咨询</w:t>
      </w:r>
    </w:p>
    <w:p w14:paraId="13B9D45A">
      <w:pPr>
        <w:pStyle w:val="7"/>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right="0" w:firstLine="640" w:firstLineChars="200"/>
        <w:textAlignment w:val="auto"/>
        <w:rPr>
          <w:rFonts w:hint="default" w:ascii="Times New Roman" w:hAnsi="Times New Roman" w:eastAsia="仿宋_GB2312" w:cs="Times New Roman"/>
          <w:i w:val="0"/>
          <w:iCs w:val="0"/>
          <w:caps w:val="0"/>
          <w:color w:val="auto"/>
          <w:spacing w:val="0"/>
          <w:sz w:val="32"/>
          <w:szCs w:val="32"/>
        </w:rPr>
      </w:pPr>
      <w:r>
        <w:rPr>
          <w:rFonts w:hint="default" w:ascii="Times New Roman" w:hAnsi="Times New Roman" w:eastAsia="仿宋_GB2312" w:cs="Times New Roman"/>
          <w:i w:val="0"/>
          <w:iCs w:val="0"/>
          <w:caps w:val="0"/>
          <w:color w:val="auto"/>
          <w:spacing w:val="0"/>
          <w:sz w:val="32"/>
          <w:szCs w:val="32"/>
          <w:lang w:eastAsia="zh-CN"/>
        </w:rPr>
        <w:t>联系电话：</w:t>
      </w:r>
      <w:r>
        <w:rPr>
          <w:rFonts w:hint="default" w:ascii="Times New Roman" w:hAnsi="Times New Roman" w:eastAsia="仿宋_GB2312" w:cs="Times New Roman"/>
          <w:i w:val="0"/>
          <w:iCs w:val="0"/>
          <w:caps w:val="0"/>
          <w:color w:val="auto"/>
          <w:spacing w:val="0"/>
          <w:sz w:val="32"/>
          <w:szCs w:val="32"/>
          <w:lang w:val="en-US" w:eastAsia="zh-CN"/>
        </w:rPr>
        <w:t>0769-12345转3。</w:t>
      </w:r>
    </w:p>
    <w:p w14:paraId="0D2344B5">
      <w:pPr>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lang w:val="en-US" w:eastAsia="zh-CN"/>
        </w:rPr>
      </w:pPr>
    </w:p>
    <w:p w14:paraId="4BCEEBF0">
      <w:pPr>
        <w:pageBreakBefore w:val="0"/>
        <w:widowControl w:val="0"/>
        <w:kinsoku/>
        <w:wordWrap/>
        <w:overflowPunct/>
        <w:topLinePunct w:val="0"/>
        <w:autoSpaceDE/>
        <w:autoSpaceDN/>
        <w:bidi w:val="0"/>
        <w:adjustRightInd/>
        <w:snapToGrid/>
        <w:spacing w:line="580" w:lineRule="exact"/>
        <w:ind w:left="1918" w:leftChars="304" w:hanging="1280" w:hangingChars="4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附件：1.202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lang w:val="en-US" w:eastAsia="zh-CN"/>
        </w:rPr>
        <w:t>年广东省企业经营研发活动专利导航</w:t>
      </w:r>
      <w:r>
        <w:rPr>
          <w:rFonts w:hint="eastAsia" w:ascii="Times New Roman" w:hAnsi="Times New Roman" w:eastAsia="仿宋_GB2312" w:cs="Times New Roman"/>
          <w:sz w:val="32"/>
          <w:szCs w:val="32"/>
          <w:lang w:val="en-US" w:eastAsia="zh-CN"/>
        </w:rPr>
        <w:t>（东莞市）</w:t>
      </w:r>
      <w:r>
        <w:rPr>
          <w:rFonts w:hint="default" w:ascii="Times New Roman" w:hAnsi="Times New Roman" w:eastAsia="仿宋_GB2312" w:cs="Times New Roman"/>
          <w:sz w:val="32"/>
          <w:szCs w:val="32"/>
          <w:lang w:val="en-US" w:eastAsia="zh-CN"/>
        </w:rPr>
        <w:t>项目申报书</w:t>
      </w:r>
    </w:p>
    <w:p w14:paraId="221516E2">
      <w:pPr>
        <w:pageBreakBefore w:val="0"/>
        <w:widowControl w:val="0"/>
        <w:kinsoku/>
        <w:wordWrap/>
        <w:overflowPunct/>
        <w:topLinePunct w:val="0"/>
        <w:autoSpaceDE/>
        <w:autoSpaceDN/>
        <w:bidi w:val="0"/>
        <w:adjustRightInd/>
        <w:snapToGrid/>
        <w:spacing w:line="580" w:lineRule="exact"/>
        <w:ind w:left="1916" w:leftChars="760" w:hanging="320" w:hangingChars="1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kern w:val="2"/>
          <w:sz w:val="32"/>
          <w:szCs w:val="32"/>
          <w:lang w:val="en-US" w:eastAsia="zh-CN" w:bidi="ar-SA"/>
        </w:rPr>
        <w:t>工业战略性新兴产业分类目录（2023）</w:t>
      </w:r>
    </w:p>
    <w:p w14:paraId="36D58DFD">
      <w:pPr>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rPr>
          <w:rFonts w:hint="default" w:ascii="Times New Roman" w:hAnsi="Times New Roman" w:cs="Times New Roman"/>
          <w:lang w:val="en-US" w:eastAsia="zh-CN"/>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《专利导航指南》（GB/T39551-2020）国家标准</w:t>
      </w:r>
    </w:p>
    <w:p w14:paraId="73BE1075">
      <w:pPr>
        <w:pageBreakBefore w:val="0"/>
        <w:widowControl w:val="0"/>
        <w:numPr>
          <w:ilvl w:val="0"/>
          <w:numId w:val="0"/>
        </w:numPr>
        <w:kinsoku/>
        <w:wordWrap/>
        <w:overflowPunct/>
        <w:topLinePunct w:val="0"/>
        <w:autoSpaceDE/>
        <w:autoSpaceDN/>
        <w:bidi w:val="0"/>
        <w:adjustRightInd/>
        <w:snapToGrid/>
        <w:spacing w:line="580" w:lineRule="exact"/>
        <w:ind w:firstLine="1600" w:firstLineChars="500"/>
        <w:textAlignment w:val="auto"/>
        <w:rPr>
          <w:rFonts w:hint="default" w:ascii="Times New Roman" w:hAnsi="Times New Roman" w:cs="Times New Roman"/>
          <w:lang w:val="en-US" w:eastAsia="zh-CN"/>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《企业运营类专利导航项目实施导则（暂行）》</w:t>
      </w:r>
    </w:p>
    <w:p w14:paraId="004CA0C3">
      <w:pPr>
        <w:pageBreakBefore w:val="0"/>
        <w:widowControl w:val="0"/>
        <w:numPr>
          <w:ilvl w:val="0"/>
          <w:numId w:val="0"/>
        </w:numPr>
        <w:kinsoku/>
        <w:wordWrap/>
        <w:overflowPunct/>
        <w:topLinePunct w:val="0"/>
        <w:autoSpaceDE/>
        <w:autoSpaceDN/>
        <w:bidi w:val="0"/>
        <w:adjustRightInd/>
        <w:snapToGrid/>
        <w:spacing w:line="580" w:lineRule="exact"/>
        <w:ind w:left="1916" w:leftChars="760" w:hanging="320" w:hangingChars="100"/>
        <w:textAlignment w:val="auto"/>
        <w:rPr>
          <w:rFonts w:hint="default" w:ascii="Times New Roman" w:hAnsi="Times New Roman" w:cs="Times New Roman"/>
          <w:lang w:val="en-US" w:eastAsia="zh-CN"/>
        </w:rPr>
      </w:pPr>
      <w:r>
        <w:rPr>
          <w:rFonts w:hint="default" w:ascii="Times New Roman" w:hAnsi="Times New Roman" w:eastAsia="仿宋_GB2312" w:cs="Times New Roman"/>
          <w:bCs w:val="0"/>
          <w:kern w:val="2"/>
          <w:sz w:val="32"/>
          <w:szCs w:val="32"/>
          <w:lang w:val="en-US" w:eastAsia="zh-CN" w:bidi="ar-SA"/>
        </w:rPr>
        <w:t>5.202</w:t>
      </w:r>
      <w:r>
        <w:rPr>
          <w:rFonts w:hint="eastAsia" w:ascii="Times New Roman" w:hAnsi="Times New Roman" w:eastAsia="仿宋_GB2312" w:cs="Times New Roman"/>
          <w:bCs w:val="0"/>
          <w:kern w:val="2"/>
          <w:sz w:val="32"/>
          <w:szCs w:val="32"/>
          <w:lang w:val="en-US" w:eastAsia="zh-CN" w:bidi="ar-SA"/>
        </w:rPr>
        <w:t>7</w:t>
      </w:r>
      <w:r>
        <w:rPr>
          <w:rFonts w:hint="default" w:ascii="Times New Roman" w:hAnsi="Times New Roman" w:eastAsia="仿宋_GB2312" w:cs="Times New Roman"/>
          <w:bCs w:val="0"/>
          <w:kern w:val="2"/>
          <w:sz w:val="32"/>
          <w:szCs w:val="32"/>
          <w:lang w:val="en-US" w:eastAsia="zh-CN" w:bidi="ar-SA"/>
        </w:rPr>
        <w:t>年广东省企业经营研发活动专利导航项目</w:t>
      </w:r>
      <w:r>
        <w:rPr>
          <w:rFonts w:hint="eastAsia" w:eastAsia="仿宋_GB2312" w:cs="Times New Roman"/>
          <w:bCs w:val="0"/>
          <w:kern w:val="2"/>
          <w:sz w:val="32"/>
          <w:szCs w:val="32"/>
          <w:lang w:val="en-US" w:eastAsia="zh-CN" w:bidi="ar-SA"/>
        </w:rPr>
        <w:t>（东莞市）</w:t>
      </w:r>
      <w:r>
        <w:rPr>
          <w:rFonts w:hint="default" w:ascii="Times New Roman" w:hAnsi="Times New Roman" w:eastAsia="仿宋_GB2312" w:cs="Times New Roman"/>
          <w:bCs w:val="0"/>
          <w:kern w:val="2"/>
          <w:sz w:val="32"/>
          <w:szCs w:val="32"/>
          <w:lang w:val="en-US" w:eastAsia="zh-CN" w:bidi="ar-SA"/>
        </w:rPr>
        <w:t>评</w:t>
      </w:r>
      <w:r>
        <w:rPr>
          <w:rFonts w:hint="eastAsia" w:eastAsia="仿宋_GB2312" w:cs="Times New Roman"/>
          <w:bCs w:val="0"/>
          <w:kern w:val="2"/>
          <w:sz w:val="32"/>
          <w:szCs w:val="32"/>
          <w:lang w:val="en-US" w:eastAsia="zh-CN" w:bidi="ar-SA"/>
        </w:rPr>
        <w:t>审</w:t>
      </w:r>
      <w:r>
        <w:rPr>
          <w:rFonts w:hint="default" w:ascii="Times New Roman" w:hAnsi="Times New Roman" w:eastAsia="仿宋_GB2312" w:cs="Times New Roman"/>
          <w:bCs w:val="0"/>
          <w:kern w:val="2"/>
          <w:sz w:val="32"/>
          <w:szCs w:val="32"/>
          <w:lang w:val="en-US" w:eastAsia="zh-CN" w:bidi="ar-SA"/>
        </w:rPr>
        <w:t>要点</w:t>
      </w:r>
    </w:p>
    <w:p w14:paraId="2DD086C2">
      <w:pPr>
        <w:pStyle w:val="5"/>
        <w:pageBreakBefore w:val="0"/>
        <w:widowControl w:val="0"/>
        <w:kinsoku/>
        <w:wordWrap/>
        <w:overflowPunct/>
        <w:autoSpaceDE/>
        <w:autoSpaceDN/>
        <w:bidi w:val="0"/>
        <w:adjustRightInd/>
        <w:snapToGrid/>
        <w:spacing w:line="600" w:lineRule="exact"/>
        <w:ind w:left="0" w:leftChars="0" w:firstLine="0" w:firstLineChars="0"/>
        <w:textAlignment w:val="auto"/>
        <w:rPr>
          <w:rFonts w:hint="default" w:ascii="Times New Roman" w:hAnsi="Times New Roman" w:cs="Times New Roman"/>
          <w:lang w:val="en-US" w:eastAsia="zh-CN"/>
        </w:rPr>
      </w:pPr>
    </w:p>
    <w:sectPr>
      <w:pgSz w:w="11906" w:h="16838"/>
      <w:pgMar w:top="2098" w:right="141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小标宋">
    <w:altName w:val="方正小标宋_GBK"/>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F33FD5"/>
    <w:multiLevelType w:val="singleLevel"/>
    <w:tmpl w:val="FCF33FD5"/>
    <w:lvl w:ilvl="0" w:tentative="0">
      <w:start w:val="2"/>
      <w:numFmt w:val="chineseCounting"/>
      <w:suff w:val="nothing"/>
      <w:lvlText w:val="（%1）"/>
      <w:lvlJc w:val="left"/>
      <w:rPr>
        <w:rFonts w:hint="eastAsia"/>
      </w:rPr>
    </w:lvl>
  </w:abstractNum>
  <w:abstractNum w:abstractNumId="1">
    <w:nsid w:val="FFB61074"/>
    <w:multiLevelType w:val="singleLevel"/>
    <w:tmpl w:val="FFB61074"/>
    <w:lvl w:ilvl="0" w:tentative="0">
      <w:start w:val="1"/>
      <w:numFmt w:val="chineseCounting"/>
      <w:suff w:val="nothing"/>
      <w:lvlText w:val="（%1）"/>
      <w:lvlJc w:val="left"/>
      <w:rPr>
        <w:rFonts w:hint="eastAsia"/>
      </w:rPr>
    </w:lvl>
  </w:abstractNum>
  <w:abstractNum w:abstractNumId="2">
    <w:nsid w:val="368223B6"/>
    <w:multiLevelType w:val="singleLevel"/>
    <w:tmpl w:val="368223B6"/>
    <w:lvl w:ilvl="0" w:tentative="0">
      <w:start w:val="2"/>
      <w:numFmt w:val="chineseCounting"/>
      <w:suff w:val="nothing"/>
      <w:lvlText w:val="（%1）"/>
      <w:lvlJc w:val="left"/>
      <w:rPr>
        <w:rFonts w:hint="eastAsia"/>
      </w:rPr>
    </w:lvl>
  </w:abstractNum>
  <w:abstractNum w:abstractNumId="3">
    <w:nsid w:val="79DB1B2A"/>
    <w:multiLevelType w:val="multilevel"/>
    <w:tmpl w:val="79DB1B2A"/>
    <w:lvl w:ilvl="0" w:tentative="0">
      <w:start w:val="1"/>
      <w:numFmt w:val="decimal"/>
      <w:pStyle w:val="4"/>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D434B06"/>
    <w:multiLevelType w:val="multilevel"/>
    <w:tmpl w:val="7D434B06"/>
    <w:lvl w:ilvl="0" w:tentative="0">
      <w:start w:val="1"/>
      <w:numFmt w:val="ideographDigit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B5A499"/>
    <w:rsid w:val="13F846C0"/>
    <w:rsid w:val="36FFB6BD"/>
    <w:rsid w:val="47FB3BC9"/>
    <w:rsid w:val="5BFF77D7"/>
    <w:rsid w:val="5DE732F6"/>
    <w:rsid w:val="5E4FDDE9"/>
    <w:rsid w:val="5FC7252F"/>
    <w:rsid w:val="6667BDF8"/>
    <w:rsid w:val="6DD6AED9"/>
    <w:rsid w:val="6FC7AF96"/>
    <w:rsid w:val="77FC29AE"/>
    <w:rsid w:val="77FD6883"/>
    <w:rsid w:val="7BEF3714"/>
    <w:rsid w:val="7DFBAD75"/>
    <w:rsid w:val="7F0BD413"/>
    <w:rsid w:val="7F7C4FAA"/>
    <w:rsid w:val="7F991A06"/>
    <w:rsid w:val="7FE9B051"/>
    <w:rsid w:val="9B77ADF4"/>
    <w:rsid w:val="9FDC93D0"/>
    <w:rsid w:val="A7FF8597"/>
    <w:rsid w:val="B9F2ABA0"/>
    <w:rsid w:val="BAFDCACD"/>
    <w:rsid w:val="BFF26226"/>
    <w:rsid w:val="C31B17F8"/>
    <w:rsid w:val="DEBF0227"/>
    <w:rsid w:val="DFFDC1B0"/>
    <w:rsid w:val="EA969BA0"/>
    <w:rsid w:val="EF7F6001"/>
    <w:rsid w:val="EFAFE183"/>
    <w:rsid w:val="EFEE4523"/>
    <w:rsid w:val="EFFBDA34"/>
    <w:rsid w:val="EFFF33B4"/>
    <w:rsid w:val="F2F75B90"/>
    <w:rsid w:val="F3BFC5CE"/>
    <w:rsid w:val="F5FB5282"/>
    <w:rsid w:val="F7779BF9"/>
    <w:rsid w:val="FBF70E5F"/>
    <w:rsid w:val="FDFF0F5C"/>
    <w:rsid w:val="FFFFA240"/>
    <w:rsid w:val="FFFFBF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paragraph" w:styleId="3">
    <w:name w:val="heading 2"/>
    <w:basedOn w:val="1"/>
    <w:next w:val="1"/>
    <w:unhideWhenUsed/>
    <w:qFormat/>
    <w:uiPriority w:val="0"/>
    <w:pPr>
      <w:spacing w:before="0" w:beforeAutospacing="0" w:after="0" w:afterAutospacing="0"/>
      <w:ind w:firstLine="880" w:firstLineChars="200"/>
      <w:jc w:val="both"/>
      <w:outlineLvl w:val="1"/>
    </w:pPr>
    <w:rPr>
      <w:rFonts w:hint="eastAsia" w:ascii="Times New Roman" w:hAnsi="Times New Roman" w:eastAsia="楷体" w:cs="Times New Roman"/>
      <w:b/>
      <w:kern w:val="0"/>
      <w:szCs w:val="36"/>
      <w:lang w:bidi="ar"/>
    </w:rPr>
  </w:style>
  <w:style w:type="paragraph" w:styleId="4">
    <w:name w:val="heading 3"/>
    <w:basedOn w:val="1"/>
    <w:next w:val="1"/>
    <w:qFormat/>
    <w:uiPriority w:val="0"/>
    <w:pPr>
      <w:keepNext/>
      <w:keepLines/>
      <w:numPr>
        <w:ilvl w:val="0"/>
        <w:numId w:val="2"/>
      </w:numPr>
      <w:outlineLvl w:val="2"/>
    </w:pPr>
    <w:rPr>
      <w:rFonts w:ascii="Times New Roman" w:hAnsi="Times New Roman" w:cs="Times New Roman"/>
      <w:b/>
      <w:bCs/>
      <w:sz w:val="30"/>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ody Text Indent 2"/>
    <w:basedOn w:val="1"/>
    <w:qFormat/>
    <w:uiPriority w:val="0"/>
    <w:pPr>
      <w:topLinePunct/>
      <w:ind w:firstLine="560" w:firstLineChars="200"/>
    </w:pPr>
    <w:rPr>
      <w:rFonts w:ascii="宋体" w:hAnsi="宋体"/>
      <w:sz w:val="2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footnote reference"/>
    <w:basedOn w:val="10"/>
    <w:qFormat/>
    <w:uiPriority w:val="0"/>
    <w:rPr>
      <w:vertAlign w:val="superscript"/>
    </w:rPr>
  </w:style>
  <w:style w:type="paragraph" w:customStyle="1" w:styleId="12">
    <w:name w:val="样式1"/>
    <w:basedOn w:val="2"/>
    <w:qFormat/>
    <w:uiPriority w:val="0"/>
    <w:pPr>
      <w:widowControl/>
      <w:adjustRightInd w:val="0"/>
      <w:snapToGrid w:val="0"/>
      <w:spacing w:before="100" w:beforeAutospacing="1" w:after="100" w:afterAutospacing="1" w:line="640" w:lineRule="exact"/>
      <w:jc w:val="center"/>
    </w:pPr>
    <w:rPr>
      <w:rFonts w:ascii="小标宋" w:hAnsi="宋体" w:eastAsia="小标宋"/>
      <w:bCs w:val="0"/>
      <w:color w:val="000000"/>
      <w:kern w:val="0"/>
    </w:rPr>
  </w:style>
  <w:style w:type="paragraph" w:customStyle="1" w:styleId="13">
    <w:name w:val="正文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4">
    <w:name w:val="列出段落2"/>
    <w:basedOn w:val="1"/>
    <w:qFormat/>
    <w:uiPriority w:val="99"/>
    <w:pPr>
      <w:ind w:firstLine="420" w:firstLineChars="200"/>
    </w:pPr>
  </w:style>
  <w:style w:type="paragraph" w:customStyle="1" w:styleId="15">
    <w:name w:val="正文 New New"/>
    <w:qFormat/>
    <w:uiPriority w:val="0"/>
    <w:pPr>
      <w:widowControl w:val="0"/>
      <w:jc w:val="both"/>
    </w:pPr>
    <w:rPr>
      <w:rFonts w:ascii="Times New Roman" w:hAnsi="Times New Roman" w:eastAsia="宋体" w:cs="黑体"/>
      <w:kern w:val="2"/>
      <w:sz w:val="21"/>
      <w:szCs w:val="24"/>
      <w:lang w:val="en-US" w:eastAsia="zh-CN" w:bidi="ar-SA"/>
    </w:rPr>
  </w:style>
  <w:style w:type="paragraph" w:customStyle="1" w:styleId="16">
    <w:name w:val="纯文本2"/>
    <w:basedOn w:val="15"/>
    <w:qFormat/>
    <w:uiPriority w:val="0"/>
    <w:rPr>
      <w:rFonts w:ascii="宋体" w:hAnsi="Courier New" w:cs="Courier New"/>
      <w:szCs w:val="21"/>
    </w:rPr>
  </w:style>
  <w:style w:type="character" w:customStyle="1" w:styleId="17">
    <w:name w:val="font61"/>
    <w:qFormat/>
    <w:uiPriority w:val="0"/>
    <w:rPr>
      <w:rFonts w:ascii="仿宋_GB2312" w:eastAsia="仿宋_GB2312" w:cs="仿宋_GB2312"/>
      <w:color w:val="000000"/>
      <w:sz w:val="28"/>
      <w:szCs w:val="2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8</TotalTime>
  <ScaleCrop>false</ScaleCrop>
  <LinksUpToDate>false</LinksUpToDate>
  <CharactersWithSpaces>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2025-07-13T22:35:00Z</dcterms:created>
  <dc:creator>user</dc:creator>
  <cp:lastModifiedBy>admin</cp:lastModifiedBy>
  <dcterms:modified xsi:type="dcterms:W3CDTF">2026-08-06T14:37:58Z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8D92AC57D368DBBF9524666898BC9FC8_41</vt:lpwstr>
  </property>
</Properties>
</file>