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9E64B">
      <w:pPr>
        <w:adjustRightInd w:val="0"/>
        <w:snapToGrid w:val="0"/>
        <w:spacing w:line="600" w:lineRule="exact"/>
        <w:ind w:firstLine="964" w:firstLineChars="200"/>
        <w:rPr>
          <w:rFonts w:ascii="仿宋_GB2312" w:eastAsia="仿宋_GB2312"/>
          <w:b/>
          <w:bCs/>
          <w:sz w:val="48"/>
          <w:szCs w:val="48"/>
        </w:rPr>
      </w:pPr>
    </w:p>
    <w:p w14:paraId="34647F8C">
      <w:pPr>
        <w:adjustRightInd w:val="0"/>
        <w:snapToGrid w:val="0"/>
        <w:spacing w:line="600" w:lineRule="exact"/>
        <w:ind w:firstLine="964" w:firstLineChars="200"/>
        <w:rPr>
          <w:rFonts w:ascii="仿宋_GB2312" w:eastAsia="仿宋_GB2312"/>
          <w:b/>
          <w:bCs/>
          <w:sz w:val="48"/>
          <w:szCs w:val="48"/>
        </w:rPr>
      </w:pPr>
    </w:p>
    <w:p w14:paraId="0E7DEF76">
      <w:pPr>
        <w:adjustRightInd w:val="0"/>
        <w:snapToGrid w:val="0"/>
        <w:spacing w:line="600" w:lineRule="exact"/>
        <w:ind w:firstLine="964" w:firstLineChars="200"/>
        <w:rPr>
          <w:rFonts w:ascii="仿宋_GB2312" w:eastAsia="仿宋_GB2312"/>
          <w:b/>
          <w:bCs/>
          <w:sz w:val="48"/>
          <w:szCs w:val="48"/>
        </w:rPr>
      </w:pPr>
    </w:p>
    <w:p w14:paraId="10582DEE">
      <w:pPr>
        <w:adjustRightInd w:val="0"/>
        <w:snapToGrid w:val="0"/>
        <w:spacing w:line="600" w:lineRule="exact"/>
        <w:ind w:firstLine="480" w:firstLineChars="200"/>
        <w:rPr>
          <w:rFonts w:ascii="仿宋_GB2312" w:eastAsia="仿宋_GB2312"/>
          <w:lang w:eastAsia="zh-CN"/>
        </w:rPr>
      </w:pPr>
    </w:p>
    <w:p w14:paraId="21E6AF72">
      <w:pPr>
        <w:adjustRightInd w:val="0"/>
        <w:snapToGrid w:val="0"/>
        <w:spacing w:line="600" w:lineRule="exact"/>
        <w:jc w:val="center"/>
        <w:rPr>
          <w:rFonts w:ascii="仿宋_GB2312" w:eastAsia="仿宋_GB2312"/>
          <w:b/>
          <w:bCs/>
          <w:sz w:val="48"/>
          <w:szCs w:val="48"/>
          <w:lang w:eastAsia="zh-CN"/>
        </w:rPr>
      </w:pPr>
      <w:r>
        <w:rPr>
          <w:rFonts w:hint="eastAsia" w:ascii="仿宋_GB2312" w:eastAsia="仿宋_GB2312" w:cs="方正小标宋简体"/>
          <w:b/>
          <w:bCs/>
          <w:sz w:val="48"/>
          <w:szCs w:val="48"/>
          <w:lang w:eastAsia="zh-CN"/>
        </w:rPr>
        <w:t>采购项目用户需求书</w:t>
      </w:r>
    </w:p>
    <w:p w14:paraId="29E573CB">
      <w:pPr>
        <w:adjustRightInd w:val="0"/>
        <w:snapToGrid w:val="0"/>
        <w:spacing w:line="600" w:lineRule="exact"/>
        <w:ind w:firstLine="480" w:firstLineChars="200"/>
        <w:rPr>
          <w:rFonts w:ascii="仿宋_GB2312" w:eastAsia="仿宋_GB2312"/>
          <w:lang w:eastAsia="zh-CN"/>
        </w:rPr>
      </w:pPr>
    </w:p>
    <w:p w14:paraId="6298023E">
      <w:pPr>
        <w:adjustRightInd w:val="0"/>
        <w:snapToGrid w:val="0"/>
        <w:spacing w:line="600" w:lineRule="exact"/>
        <w:ind w:firstLine="480" w:firstLineChars="200"/>
        <w:rPr>
          <w:rFonts w:ascii="仿宋_GB2312" w:eastAsia="仿宋_GB2312"/>
          <w:lang w:eastAsia="zh-CN"/>
        </w:rPr>
      </w:pPr>
    </w:p>
    <w:p w14:paraId="7C9AFA02">
      <w:pPr>
        <w:pStyle w:val="11"/>
        <w:rPr>
          <w:rFonts w:ascii="仿宋_GB2312" w:eastAsia="仿宋_GB2312"/>
        </w:rPr>
      </w:pPr>
    </w:p>
    <w:p w14:paraId="607617BC">
      <w:pPr>
        <w:rPr>
          <w:lang w:eastAsia="zh-CN"/>
        </w:rPr>
      </w:pPr>
    </w:p>
    <w:p w14:paraId="2D796EA0">
      <w:pPr>
        <w:adjustRightInd w:val="0"/>
        <w:snapToGrid w:val="0"/>
        <w:spacing w:line="600" w:lineRule="exact"/>
        <w:ind w:firstLine="480" w:firstLineChars="200"/>
        <w:rPr>
          <w:rFonts w:eastAsia="仿宋_GB2312"/>
          <w:lang w:eastAsia="zh-CN"/>
        </w:rPr>
      </w:pPr>
    </w:p>
    <w:p w14:paraId="2695B61C">
      <w:pPr>
        <w:adjustRightInd w:val="0"/>
        <w:snapToGrid w:val="0"/>
        <w:spacing w:after="0" w:line="600" w:lineRule="exact"/>
        <w:ind w:firstLine="320" w:firstLineChars="100"/>
        <w:jc w:val="both"/>
        <w:rPr>
          <w:rFonts w:eastAsia="仿宋_GB2312"/>
          <w:sz w:val="32"/>
          <w:szCs w:val="32"/>
          <w:lang w:eastAsia="zh-CN"/>
        </w:rPr>
      </w:pPr>
      <w:r>
        <w:rPr>
          <w:rFonts w:eastAsia="仿宋_GB2312"/>
          <w:sz w:val="32"/>
          <w:szCs w:val="32"/>
          <w:lang w:eastAsia="zh-CN"/>
        </w:rPr>
        <w:t>项目名称：</w:t>
      </w:r>
      <w:r>
        <w:rPr>
          <w:rFonts w:hint="eastAsia" w:eastAsia="仿宋_GB2312"/>
          <w:spacing w:val="-6"/>
          <w:sz w:val="32"/>
          <w:szCs w:val="32"/>
          <w:lang w:eastAsia="zh-CN"/>
        </w:rPr>
        <w:t>东莞市市场监督管理局12315系统运维服务项目</w:t>
      </w:r>
    </w:p>
    <w:p w14:paraId="58781CAC">
      <w:pPr>
        <w:adjustRightInd w:val="0"/>
        <w:snapToGrid w:val="0"/>
        <w:spacing w:line="600" w:lineRule="exact"/>
        <w:ind w:firstLine="640" w:firstLineChars="200"/>
        <w:rPr>
          <w:rFonts w:eastAsia="仿宋_GB2312"/>
          <w:sz w:val="32"/>
          <w:szCs w:val="32"/>
          <w:lang w:eastAsia="zh-CN"/>
        </w:rPr>
      </w:pPr>
    </w:p>
    <w:p w14:paraId="12F0DDC9">
      <w:pPr>
        <w:adjustRightInd w:val="0"/>
        <w:snapToGrid w:val="0"/>
        <w:spacing w:line="600" w:lineRule="exact"/>
        <w:ind w:firstLine="640" w:firstLineChars="200"/>
        <w:rPr>
          <w:rFonts w:eastAsia="仿宋_GB2312"/>
          <w:sz w:val="32"/>
          <w:szCs w:val="32"/>
          <w:lang w:eastAsia="zh-CN"/>
        </w:rPr>
      </w:pPr>
    </w:p>
    <w:p w14:paraId="3D791FB1">
      <w:pPr>
        <w:adjustRightInd w:val="0"/>
        <w:snapToGrid w:val="0"/>
        <w:spacing w:line="600" w:lineRule="exact"/>
        <w:ind w:firstLine="640" w:firstLineChars="200"/>
        <w:rPr>
          <w:rFonts w:eastAsia="仿宋_GB2312"/>
          <w:sz w:val="32"/>
          <w:szCs w:val="32"/>
          <w:lang w:eastAsia="zh-CN"/>
        </w:rPr>
      </w:pPr>
    </w:p>
    <w:p w14:paraId="6AC1A190">
      <w:pPr>
        <w:adjustRightInd w:val="0"/>
        <w:snapToGrid w:val="0"/>
        <w:spacing w:line="600" w:lineRule="exact"/>
        <w:ind w:firstLine="640" w:firstLineChars="200"/>
        <w:rPr>
          <w:rFonts w:eastAsia="仿宋_GB2312"/>
          <w:sz w:val="32"/>
          <w:szCs w:val="32"/>
          <w:lang w:eastAsia="zh-CN"/>
        </w:rPr>
      </w:pPr>
    </w:p>
    <w:p w14:paraId="21601078">
      <w:pPr>
        <w:pStyle w:val="10"/>
        <w:spacing w:before="15" w:after="15"/>
        <w:ind w:left="24"/>
        <w:rPr>
          <w:lang w:eastAsia="zh-CN"/>
        </w:rPr>
      </w:pPr>
    </w:p>
    <w:p w14:paraId="7D64886F">
      <w:pPr>
        <w:adjustRightInd w:val="0"/>
        <w:snapToGrid w:val="0"/>
        <w:spacing w:line="600" w:lineRule="exact"/>
        <w:jc w:val="center"/>
        <w:rPr>
          <w:rFonts w:eastAsia="仿宋_GB2312"/>
          <w:sz w:val="32"/>
          <w:szCs w:val="32"/>
          <w:lang w:eastAsia="zh-CN"/>
        </w:rPr>
      </w:pPr>
      <w:r>
        <w:rPr>
          <w:rFonts w:eastAsia="仿宋_GB2312"/>
          <w:sz w:val="32"/>
          <w:szCs w:val="32"/>
          <w:lang w:eastAsia="zh-CN"/>
        </w:rPr>
        <w:t>东莞市市场监督管理局</w:t>
      </w:r>
    </w:p>
    <w:p w14:paraId="14D2F70C">
      <w:pPr>
        <w:adjustRightInd w:val="0"/>
        <w:snapToGrid w:val="0"/>
        <w:spacing w:line="600" w:lineRule="exact"/>
        <w:jc w:val="center"/>
        <w:rPr>
          <w:rFonts w:eastAsia="仿宋_GB2312"/>
          <w:sz w:val="32"/>
          <w:szCs w:val="32"/>
          <w:lang w:eastAsia="zh-CN"/>
        </w:rPr>
      </w:pPr>
      <w:r>
        <w:rPr>
          <w:rFonts w:eastAsia="仿宋_GB2312"/>
          <w:sz w:val="32"/>
          <w:szCs w:val="32"/>
          <w:lang w:eastAsia="zh-CN"/>
        </w:rPr>
        <w:t>202</w:t>
      </w:r>
      <w:r>
        <w:rPr>
          <w:rFonts w:hint="eastAsia" w:eastAsia="仿宋_GB2312"/>
          <w:sz w:val="32"/>
          <w:szCs w:val="32"/>
          <w:lang w:eastAsia="zh-CN"/>
        </w:rPr>
        <w:t>6</w:t>
      </w:r>
      <w:r>
        <w:rPr>
          <w:rFonts w:eastAsia="仿宋_GB2312"/>
          <w:sz w:val="32"/>
          <w:szCs w:val="32"/>
          <w:lang w:eastAsia="zh-CN"/>
        </w:rPr>
        <w:t>年</w:t>
      </w:r>
      <w:r>
        <w:rPr>
          <w:rFonts w:hint="eastAsia" w:eastAsia="仿宋_GB2312"/>
          <w:sz w:val="32"/>
          <w:szCs w:val="32"/>
          <w:lang w:eastAsia="zh-CN"/>
        </w:rPr>
        <w:t>9</w:t>
      </w:r>
      <w:r>
        <w:rPr>
          <w:rFonts w:eastAsia="仿宋_GB2312"/>
          <w:sz w:val="32"/>
          <w:szCs w:val="32"/>
          <w:lang w:eastAsia="zh-CN"/>
        </w:rPr>
        <w:t>月</w:t>
      </w:r>
    </w:p>
    <w:p w14:paraId="7C5C5069">
      <w:pPr>
        <w:adjustRightInd w:val="0"/>
        <w:snapToGrid w:val="0"/>
        <w:spacing w:line="600" w:lineRule="exact"/>
        <w:jc w:val="center"/>
        <w:rPr>
          <w:rFonts w:eastAsia="仿宋_GB2312"/>
          <w:sz w:val="32"/>
          <w:szCs w:val="32"/>
          <w:lang w:eastAsia="zh-CN"/>
        </w:rPr>
      </w:pPr>
    </w:p>
    <w:p w14:paraId="7C85D02A">
      <w:pPr>
        <w:keepNext/>
        <w:keepLines/>
        <w:widowControl w:val="0"/>
        <w:numPr>
          <w:ilvl w:val="1"/>
          <w:numId w:val="0"/>
        </w:numPr>
        <w:tabs>
          <w:tab w:val="left" w:pos="210"/>
          <w:tab w:val="left" w:pos="567"/>
        </w:tabs>
        <w:spacing w:after="0" w:line="360" w:lineRule="auto"/>
        <w:ind w:firstLine="643" w:firstLineChars="200"/>
        <w:outlineLvl w:val="1"/>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b/>
          <w:bCs/>
          <w:kern w:val="2"/>
          <w:sz w:val="32"/>
          <w:szCs w:val="32"/>
          <w:lang w:eastAsia="zh-CN"/>
        </w:rPr>
        <w:t>一、项目概况</w:t>
      </w:r>
    </w:p>
    <w:p w14:paraId="348FDD8F">
      <w:pPr>
        <w:spacing w:after="0" w:line="580" w:lineRule="exact"/>
        <w:ind w:firstLine="640" w:firstLineChars="200"/>
        <w:rPr>
          <w:rFonts w:hint="eastAsia" w:ascii="仿宋_GB2312" w:hAnsi="仿宋_GB2312" w:eastAsia="仿宋_GB2312" w:cs="仿宋_GB2312"/>
          <w:color w:val="FF0000"/>
          <w:kern w:val="2"/>
          <w:sz w:val="32"/>
          <w:szCs w:val="32"/>
          <w:lang w:eastAsia="zh-CN"/>
        </w:rPr>
      </w:pPr>
      <w:bookmarkStart w:id="0" w:name="_Toc528759347"/>
      <w:r>
        <w:rPr>
          <w:rFonts w:hint="eastAsia" w:ascii="仿宋_GB2312" w:hAnsi="仿宋_GB2312" w:eastAsia="仿宋_GB2312" w:cs="仿宋_GB2312"/>
          <w:kern w:val="2"/>
          <w:sz w:val="32"/>
          <w:szCs w:val="32"/>
          <w:lang w:eastAsia="zh-CN"/>
        </w:rPr>
        <w:t>本项目主要是为东莞市市场监督管理局12315系统（12315平台与东莞市12345政府服务热线业务平台对接系统）提供运行维护服务，确保系统正常运行，保障系统数据安全及数据服务的及时和全面。</w:t>
      </w:r>
    </w:p>
    <w:p w14:paraId="0E338BFF">
      <w:pPr>
        <w:keepNext/>
        <w:keepLines/>
        <w:widowControl w:val="0"/>
        <w:tabs>
          <w:tab w:val="left" w:pos="210"/>
          <w:tab w:val="left" w:pos="567"/>
        </w:tabs>
        <w:spacing w:after="0" w:line="360" w:lineRule="auto"/>
        <w:ind w:firstLine="643" w:firstLineChars="200"/>
        <w:outlineLvl w:val="1"/>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eastAsia="zh-CN"/>
        </w:rPr>
        <w:t>二、项目经费和服务周期</w:t>
      </w:r>
    </w:p>
    <w:p w14:paraId="6A8E6F54">
      <w:pPr>
        <w:spacing w:after="0" w:line="580" w:lineRule="exact"/>
        <w:ind w:firstLine="640" w:firstLineChars="200"/>
        <w:rPr>
          <w:rFonts w:eastAsia="仿宋_GB2312"/>
          <w:sz w:val="32"/>
          <w:szCs w:val="32"/>
          <w:lang w:eastAsia="zh-CN"/>
        </w:rPr>
      </w:pPr>
      <w:r>
        <w:rPr>
          <w:rFonts w:eastAsia="仿宋_GB2312"/>
          <w:sz w:val="32"/>
          <w:szCs w:val="32"/>
          <w:lang w:eastAsia="zh-CN"/>
        </w:rPr>
        <w:t>本</w:t>
      </w:r>
      <w:r>
        <w:rPr>
          <w:rFonts w:hint="eastAsia" w:eastAsia="仿宋_GB2312"/>
          <w:sz w:val="32"/>
          <w:szCs w:val="32"/>
          <w:lang w:eastAsia="zh-CN"/>
        </w:rPr>
        <w:t>项目</w:t>
      </w:r>
      <w:r>
        <w:rPr>
          <w:rFonts w:eastAsia="仿宋_GB2312"/>
          <w:sz w:val="32"/>
          <w:szCs w:val="32"/>
          <w:lang w:eastAsia="zh-CN"/>
        </w:rPr>
        <w:t>预算为</w:t>
      </w:r>
      <w:r>
        <w:rPr>
          <w:rFonts w:hint="eastAsia" w:eastAsia="仿宋_GB2312"/>
          <w:sz w:val="32"/>
          <w:szCs w:val="32"/>
          <w:lang w:eastAsia="zh-CN"/>
        </w:rPr>
        <w:t>13.5148</w:t>
      </w:r>
      <w:r>
        <w:rPr>
          <w:rFonts w:eastAsia="仿宋_GB2312"/>
          <w:sz w:val="32"/>
          <w:szCs w:val="32"/>
          <w:lang w:eastAsia="zh-CN"/>
        </w:rPr>
        <w:t>万元</w:t>
      </w:r>
      <w:r>
        <w:rPr>
          <w:rFonts w:hint="eastAsia" w:eastAsia="仿宋_GB2312"/>
          <w:sz w:val="32"/>
          <w:szCs w:val="32"/>
          <w:lang w:eastAsia="zh-CN"/>
        </w:rPr>
        <w:t>，</w:t>
      </w:r>
      <w:r>
        <w:rPr>
          <w:rFonts w:eastAsia="仿宋_GB2312"/>
          <w:sz w:val="32"/>
          <w:szCs w:val="32"/>
          <w:lang w:eastAsia="zh-CN"/>
        </w:rPr>
        <w:t>供应商报价不得</w:t>
      </w:r>
      <w:r>
        <w:rPr>
          <w:rFonts w:hint="eastAsia" w:eastAsia="仿宋_GB2312"/>
          <w:sz w:val="32"/>
          <w:szCs w:val="32"/>
          <w:lang w:eastAsia="zh-CN"/>
        </w:rPr>
        <w:t>高</w:t>
      </w:r>
      <w:r>
        <w:rPr>
          <w:rFonts w:eastAsia="仿宋_GB2312"/>
          <w:sz w:val="32"/>
          <w:szCs w:val="32"/>
          <w:lang w:eastAsia="zh-CN"/>
        </w:rPr>
        <w:t>于</w:t>
      </w:r>
      <w:r>
        <w:rPr>
          <w:rFonts w:hint="eastAsia" w:eastAsia="仿宋_GB2312"/>
          <w:sz w:val="32"/>
          <w:szCs w:val="32"/>
          <w:lang w:eastAsia="zh-CN"/>
        </w:rPr>
        <w:t>13.</w:t>
      </w:r>
      <w:r>
        <w:rPr>
          <w:rFonts w:hint="eastAsia" w:eastAsia="仿宋_GB2312"/>
          <w:sz w:val="32"/>
          <w:szCs w:val="32"/>
          <w:lang w:val="en-US" w:eastAsia="zh-CN"/>
        </w:rPr>
        <w:t>51</w:t>
      </w:r>
      <w:r>
        <w:rPr>
          <w:rFonts w:hint="eastAsia" w:eastAsia="仿宋_GB2312"/>
          <w:sz w:val="32"/>
          <w:szCs w:val="32"/>
          <w:lang w:eastAsia="zh-CN"/>
        </w:rPr>
        <w:t>48</w:t>
      </w:r>
      <w:r>
        <w:rPr>
          <w:rFonts w:eastAsia="仿宋_GB2312"/>
          <w:sz w:val="32"/>
          <w:szCs w:val="32"/>
          <w:lang w:eastAsia="zh-CN"/>
        </w:rPr>
        <w:t>万元</w:t>
      </w:r>
      <w:bookmarkStart w:id="1" w:name="_GoBack"/>
      <w:bookmarkEnd w:id="1"/>
      <w:r>
        <w:rPr>
          <w:rFonts w:eastAsia="仿宋_GB2312"/>
          <w:sz w:val="32"/>
          <w:szCs w:val="32"/>
          <w:lang w:eastAsia="zh-CN"/>
        </w:rPr>
        <w:t>。</w:t>
      </w:r>
    </w:p>
    <w:p w14:paraId="7551E478">
      <w:pPr>
        <w:spacing w:after="0" w:line="580" w:lineRule="exact"/>
        <w:ind w:firstLine="640" w:firstLineChars="200"/>
        <w:rPr>
          <w:rFonts w:eastAsia="仿宋_GB2312"/>
          <w:sz w:val="32"/>
          <w:szCs w:val="32"/>
          <w:lang w:eastAsia="zh-CN"/>
        </w:rPr>
      </w:pPr>
      <w:r>
        <w:rPr>
          <w:rFonts w:hint="eastAsia" w:eastAsia="仿宋_GB2312"/>
          <w:sz w:val="32"/>
          <w:szCs w:val="32"/>
          <w:lang w:eastAsia="zh-CN"/>
        </w:rPr>
        <w:t>运维服务期为2026年10月1日至2027年9月30日。</w:t>
      </w:r>
    </w:p>
    <w:p w14:paraId="61B6D291">
      <w:pPr>
        <w:keepNext/>
        <w:keepLines/>
        <w:widowControl w:val="0"/>
        <w:tabs>
          <w:tab w:val="left" w:pos="210"/>
          <w:tab w:val="left" w:pos="567"/>
        </w:tabs>
        <w:spacing w:after="0" w:line="360" w:lineRule="auto"/>
        <w:ind w:firstLine="643" w:firstLineChars="200"/>
        <w:outlineLvl w:val="1"/>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b/>
          <w:bCs/>
          <w:kern w:val="2"/>
          <w:sz w:val="32"/>
          <w:szCs w:val="32"/>
          <w:lang w:eastAsia="zh-CN"/>
        </w:rPr>
        <w:t>三、项目</w:t>
      </w:r>
      <w:bookmarkEnd w:id="0"/>
      <w:r>
        <w:rPr>
          <w:rFonts w:hint="eastAsia" w:ascii="仿宋_GB2312" w:hAnsi="仿宋_GB2312" w:eastAsia="仿宋_GB2312" w:cs="仿宋_GB2312"/>
          <w:b/>
          <w:bCs/>
          <w:kern w:val="2"/>
          <w:sz w:val="32"/>
          <w:szCs w:val="32"/>
          <w:lang w:eastAsia="zh-CN"/>
        </w:rPr>
        <w:t>服务内容</w:t>
      </w:r>
    </w:p>
    <w:p w14:paraId="3DB8F1FF">
      <w:pPr>
        <w:pStyle w:val="10"/>
        <w:spacing w:before="15" w:after="15"/>
        <w:ind w:left="0" w:leftChars="0"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1、日常维护服务：包含运行状态监控及预警、日常巡检、数据备份检查、性能优化、以及漏洞修复等安全加固、升级迭代服务。</w:t>
      </w:r>
    </w:p>
    <w:p w14:paraId="7B289DFF">
      <w:pPr>
        <w:pStyle w:val="10"/>
        <w:spacing w:before="15" w:after="15"/>
        <w:ind w:left="0" w:leftChars="0"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2、故障检测及排除：在维护期内，检测并修复处理系统中存在的问题，按不同的维护类型，提供现场技术支持、远程技术支持服务、诊断问题及解决故障，并协助处理突发性的灾难修复。检查12315系统数据，处理数据异常等问题，并维护数据接口、数据采集和共享程序，包括维护对接全国12315平台短信发送模块，实现在处理12315的投诉、举报工单时，需将处理过程、处理结果及时向投诉人、举报人进行告知，确保数据正常交换。</w:t>
      </w:r>
    </w:p>
    <w:p w14:paraId="60424216">
      <w:pPr>
        <w:pStyle w:val="10"/>
        <w:spacing w:before="15" w:after="15"/>
        <w:ind w:left="0" w:leftChars="0"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3、异常工单处理技术支持服务：根据用户使用业务报错、数据异常等情况，进行异常工单排查处理，并提供系统应用技术支持服务，迅速响应并协助用户解决在系统操作过程中的障碍。</w:t>
      </w:r>
    </w:p>
    <w:p w14:paraId="68EE28F8">
      <w:pPr>
        <w:keepNext/>
        <w:keepLines/>
        <w:widowControl w:val="0"/>
        <w:numPr>
          <w:ilvl w:val="1"/>
          <w:numId w:val="0"/>
        </w:numPr>
        <w:tabs>
          <w:tab w:val="left" w:pos="210"/>
          <w:tab w:val="left" w:pos="567"/>
        </w:tabs>
        <w:spacing w:after="0" w:line="360" w:lineRule="auto"/>
        <w:ind w:firstLine="643" w:firstLineChars="200"/>
        <w:outlineLvl w:val="1"/>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b/>
          <w:bCs/>
          <w:kern w:val="2"/>
          <w:sz w:val="32"/>
          <w:szCs w:val="32"/>
          <w:lang w:eastAsia="zh-CN"/>
        </w:rPr>
        <w:t>四、项目实施要求</w:t>
      </w:r>
    </w:p>
    <w:p w14:paraId="13A6B047">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1、项目维护原则：</w:t>
      </w:r>
    </w:p>
    <w:p w14:paraId="7CC542C5">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1）保密性原则：成交供应商在履行运维服务过程中获知的市场监管系统信息，以及采购人与相关单位之间发生信息交互关系时不为公众所知的所有信息均属保密信息，不得泄露给第三方单位或个人，不得利用这些信息进行任何侵害东莞市市场监督管理局相关系统的行为。项目服务结束后，成交供应商应在5个工作日内将其所持有、保管的全部保密信息载体（含纸质文件、电子文档、备份数据、项目档案等）彻底清除、销毁或移交采购人，不得遗漏、隐匿或私自留存。</w:t>
      </w:r>
    </w:p>
    <w:p w14:paraId="369F7B80">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（2）规范性原则：成交供应商应提供项目实施方案，服务的实施必须依照方案规定的操作流程进行，对重大操作过程和结果要有相应的记录，并提供完整的服务报告。</w:t>
      </w:r>
    </w:p>
    <w:p w14:paraId="1F51A1C3">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（3）可控性原则：服务的工具、方法和过程要在双方认可的范围之内，保证采购人对于服务过程的可控性。</w:t>
      </w:r>
    </w:p>
    <w:p w14:paraId="19B77B87">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（4）延续性原则：本项目的维护服务须在原有的12315平台与东莞市12345政府服务热线业务平台对接系统基础上进行维护。</w:t>
      </w:r>
    </w:p>
    <w:p w14:paraId="2F0A9AAC">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5）最小影响原则：服务工作应不能对现有业务的正常运行产生显著影响（包括系统性能明显下降、服务中断等）。维护公司应采取预防与应急响应并重的措施。定期对被维护的系统及相关环境进行预防性检查，防患于未然。对可能的突发故障事先制定应急预案，确保在出现紧急情况时，将业务系统的中断减至最低，确保业务系统服务的连续性。</w:t>
      </w:r>
    </w:p>
    <w:p w14:paraId="44DC8DE7">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2、服务响应要求</w:t>
      </w:r>
    </w:p>
    <w:p w14:paraId="5C3CB374">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（1）成交供应商应提供7×24小时的电话服务，在工作时间内，保证在系统故障出现之后的0.5小时之内响应，如遇到确需现场支持的情况，成交供应商的技术人员须在2小时内到达故障现场。</w:t>
      </w:r>
    </w:p>
    <w:p w14:paraId="1FBD4F7F">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2）成交供应商应对项目软件的正常运行、使用负责。项目软件出现问题而又确需成交供应商帮助解决时，成交供应商不得以“非软件问题”、“项目相关方不配合”等为理由推脱不按约定及时提供服务，应主动协调项目各相关方排查解决问题。</w:t>
      </w:r>
    </w:p>
    <w:p w14:paraId="3C9F7342">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（3）成交供应商提供的服务不符合上述要求时，采购人有权要求成交供应商限期整改，逾期未整改完毕或整改后仍不符合要求的，视为违约。</w:t>
      </w:r>
    </w:p>
    <w:p w14:paraId="4C1586B0">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3、项目验收要求</w:t>
      </w:r>
    </w:p>
    <w:p w14:paraId="70DCF45D">
      <w:pPr>
        <w:widowControl w:val="0"/>
        <w:spacing w:after="0"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eastAsia="zh-CN"/>
        </w:rPr>
        <w:t>成交供应商需配合采购人开展项目验收工作，提供项目工作总结报告等验收材料。</w:t>
      </w:r>
    </w:p>
    <w:p w14:paraId="6797793C">
      <w:pPr>
        <w:widowControl w:val="0"/>
        <w:spacing w:after="0" w:line="360" w:lineRule="auto"/>
        <w:ind w:firstLine="643" w:firstLineChars="200"/>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eastAsia="zh-CN"/>
        </w:rPr>
        <w:t>五、项目支付方式</w:t>
      </w:r>
    </w:p>
    <w:p w14:paraId="3912F0E7">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1、本项目的付款方式为：</w:t>
      </w:r>
    </w:p>
    <w:p w14:paraId="26B09C4B">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第一期：合同签订后30日内，支付3.05万元（成交金额低于3.05万元的，以实际成交金额为准）。</w:t>
      </w:r>
    </w:p>
    <w:p w14:paraId="6068C2EF">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第二期：成交供应商履行运维服务满6个月后30日内，支付剩余部分。</w:t>
      </w:r>
    </w:p>
    <w:p w14:paraId="2E0B34ED">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2、每笔款项支付前，成交供应商需向采购人提供等额有效发票，否则采购人有权相应延后付款。</w:t>
      </w:r>
    </w:p>
    <w:p w14:paraId="7EFA235D">
      <w:pPr>
        <w:widowControl w:val="0"/>
        <w:spacing w:after="0" w:line="360" w:lineRule="auto"/>
        <w:ind w:firstLine="640" w:firstLineChars="200"/>
        <w:rPr>
          <w:lang w:eastAsia="zh-CN"/>
        </w:rPr>
      </w:pPr>
      <w:r>
        <w:rPr>
          <w:rFonts w:hint="eastAsia" w:ascii="仿宋_GB2312" w:hAnsi="仿宋_GB2312" w:eastAsia="仿宋_GB2312" w:cs="仿宋_GB2312"/>
          <w:kern w:val="2"/>
          <w:sz w:val="32"/>
          <w:szCs w:val="32"/>
          <w:lang w:eastAsia="zh-CN"/>
        </w:rPr>
        <w:t>3、由于采购人使用的是财政资金，采购人在前款规定的付款时间为向政府采购支付部门提出办理财政支付申请手续的时间（不含政府财政支付部门审核的时间），在规定时间内提出支付申请手续后即视为采购人已经按期支付。</w:t>
      </w:r>
    </w:p>
    <w:p w14:paraId="5D2B9A9F">
      <w:pPr>
        <w:widowControl w:val="0"/>
        <w:spacing w:after="0" w:line="360" w:lineRule="auto"/>
        <w:ind w:firstLine="643" w:firstLineChars="200"/>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eastAsia="zh-CN"/>
        </w:rPr>
        <w:t>六、违约责任</w:t>
      </w:r>
    </w:p>
    <w:p w14:paraId="6CD7BF11">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1、成交供应商提供的服务不符合本合同规定的，采购人有权要求成交供应商限期整改，逾期未整改完毕或整改后仍不符合本合同规定的，采购人有权终止合同，要求成交供应商退还采购人已支付的费用，并且成交供应商须向采购人支付合同金额20%的违约金。</w:t>
      </w:r>
    </w:p>
    <w:p w14:paraId="2BC9F24D">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2、成交供应商中途更换项目经理，未征得采购人同意或交接期少于1个月的，须向采购人支付合同金额3%的违约金。</w:t>
      </w:r>
    </w:p>
    <w:p w14:paraId="7D614903">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3、采购人逾期付款，经成交供应商书面催告后仍未支付的，每逾期一天按拖欠金额万分之五支付违约金给成交供应商。由于财政拨款不到位而导致采购人逾期付款的，采购人不承担违约责任，并且此情况不能成为成交供应商延期交货及服务的理由，但采购人须采取积极措施以加速付款的进程。</w:t>
      </w:r>
    </w:p>
    <w:p w14:paraId="183AFE84">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4、对在履行本合同过程中知悉的对方的客户资料、非专利技术等商业秘密和协议文本，成交供应商及采购人双方均负有保密义务。除为履行本合同需要外，未经对方书面同意不得以任何方式向任何第三方泄漏。任何一方未履行本合同保密条款约定之义务者，除赔偿对方因此而遭受的损失外，还需向对方支付相当于本合同总价款20%的违约金。</w:t>
      </w:r>
    </w:p>
    <w:p w14:paraId="2A42BC56">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5、其他违约责任按相关法律、法规处理。</w:t>
      </w:r>
    </w:p>
    <w:p w14:paraId="5D3FF36D">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6、违约金处罚缴款方式：上述处罚的违约金罚款直接从采购人未支付成交供应商的合同金额中扣减，如合同剩余金额不足扣减违约金罚款，成交供应商需在规定时限内向采购人交纳违约金罚款。</w:t>
      </w:r>
    </w:p>
    <w:p w14:paraId="796A81AC">
      <w:pPr>
        <w:widowControl w:val="0"/>
        <w:spacing w:after="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7、因本项目相关事宜产生纠纷，采购人通过司法途径维护自身权益的，成交供应商应承担采购人因维护自身权益产生的律师费、诉讼/仲裁费、财产保全费、财产保全担保费、评估费、拍卖费、强制执行费、差旅费等全部费用。</w:t>
      </w:r>
    </w:p>
    <w:sectPr>
      <w:footerReference r:id="rId5"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046C9">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D798D9">
                          <w:pPr>
                            <w:pStyle w:val="4"/>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Na8P8XFAQAAkAMAAA4AAAAAAAAAAQAgAAAAHgEAAGRycy9lMm9Eb2MueG1s&#10;UEsFBgAAAAAGAAYAWQEAAFUFAAAAAA==&#10;">
              <v:fill on="f" focussize="0,0"/>
              <v:stroke on="f"/>
              <v:imagedata o:title=""/>
              <o:lock v:ext="edit" aspectratio="f"/>
              <v:textbox inset="0mm,0mm,0mm,0mm" style="mso-fit-shape-to-text:t;">
                <w:txbxContent>
                  <w:p w14:paraId="10D798D9">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oNotTrackMove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ZkN2U4Mjk0MmY3OThmYTk2N2I3Mjk4NGYwMGJlM2IifQ=="/>
  </w:docVars>
  <w:rsids>
    <w:rsidRoot w:val="506B6B63"/>
    <w:rsid w:val="000168E2"/>
    <w:rsid w:val="000338B2"/>
    <w:rsid w:val="001534F4"/>
    <w:rsid w:val="001572ED"/>
    <w:rsid w:val="001E471E"/>
    <w:rsid w:val="002A5574"/>
    <w:rsid w:val="002B4149"/>
    <w:rsid w:val="002E0E03"/>
    <w:rsid w:val="0031150C"/>
    <w:rsid w:val="00320026"/>
    <w:rsid w:val="00331987"/>
    <w:rsid w:val="0041196A"/>
    <w:rsid w:val="00445CAE"/>
    <w:rsid w:val="00465352"/>
    <w:rsid w:val="00476BDD"/>
    <w:rsid w:val="004B250F"/>
    <w:rsid w:val="004E2355"/>
    <w:rsid w:val="005F6A99"/>
    <w:rsid w:val="00613C5C"/>
    <w:rsid w:val="0061422C"/>
    <w:rsid w:val="00627083"/>
    <w:rsid w:val="006C2C2C"/>
    <w:rsid w:val="006D54A9"/>
    <w:rsid w:val="00715C5A"/>
    <w:rsid w:val="00724F50"/>
    <w:rsid w:val="00745145"/>
    <w:rsid w:val="0076710F"/>
    <w:rsid w:val="007A005F"/>
    <w:rsid w:val="007B590A"/>
    <w:rsid w:val="00824548"/>
    <w:rsid w:val="00843163"/>
    <w:rsid w:val="008A364A"/>
    <w:rsid w:val="008C272B"/>
    <w:rsid w:val="008F569F"/>
    <w:rsid w:val="00921754"/>
    <w:rsid w:val="00924FEA"/>
    <w:rsid w:val="009F2DBD"/>
    <w:rsid w:val="00A01648"/>
    <w:rsid w:val="00A274B2"/>
    <w:rsid w:val="00A556A1"/>
    <w:rsid w:val="00A86ADF"/>
    <w:rsid w:val="00B47964"/>
    <w:rsid w:val="00B711CA"/>
    <w:rsid w:val="00C24BD5"/>
    <w:rsid w:val="00C603F3"/>
    <w:rsid w:val="00D15B16"/>
    <w:rsid w:val="00DE2D58"/>
    <w:rsid w:val="00E10D0E"/>
    <w:rsid w:val="00EE3103"/>
    <w:rsid w:val="00F5021F"/>
    <w:rsid w:val="00F86724"/>
    <w:rsid w:val="00FB1FC1"/>
    <w:rsid w:val="010B497F"/>
    <w:rsid w:val="014C750F"/>
    <w:rsid w:val="023E395F"/>
    <w:rsid w:val="02A86215"/>
    <w:rsid w:val="03764ACE"/>
    <w:rsid w:val="03AB29EA"/>
    <w:rsid w:val="03CB0448"/>
    <w:rsid w:val="03D85E53"/>
    <w:rsid w:val="04551B3C"/>
    <w:rsid w:val="04A20D7C"/>
    <w:rsid w:val="05207516"/>
    <w:rsid w:val="0521053C"/>
    <w:rsid w:val="064D6277"/>
    <w:rsid w:val="06A2410D"/>
    <w:rsid w:val="06FC4AF5"/>
    <w:rsid w:val="073A0F1C"/>
    <w:rsid w:val="074E0979"/>
    <w:rsid w:val="07716FC5"/>
    <w:rsid w:val="07F024E8"/>
    <w:rsid w:val="083D6A49"/>
    <w:rsid w:val="083F723B"/>
    <w:rsid w:val="08FE3F0D"/>
    <w:rsid w:val="093D375E"/>
    <w:rsid w:val="094916EF"/>
    <w:rsid w:val="096458BC"/>
    <w:rsid w:val="09676F08"/>
    <w:rsid w:val="098766B0"/>
    <w:rsid w:val="09C66503"/>
    <w:rsid w:val="0A453619"/>
    <w:rsid w:val="0A5F432A"/>
    <w:rsid w:val="0AA13D7C"/>
    <w:rsid w:val="0AE7709C"/>
    <w:rsid w:val="0B505A50"/>
    <w:rsid w:val="0B7164FB"/>
    <w:rsid w:val="0BE2338D"/>
    <w:rsid w:val="0CB0600C"/>
    <w:rsid w:val="0D75312A"/>
    <w:rsid w:val="0D98124E"/>
    <w:rsid w:val="0DD60F14"/>
    <w:rsid w:val="0E167FAA"/>
    <w:rsid w:val="0E2C42E0"/>
    <w:rsid w:val="0F2C737A"/>
    <w:rsid w:val="0F73565B"/>
    <w:rsid w:val="0F792178"/>
    <w:rsid w:val="0F9361AD"/>
    <w:rsid w:val="0F9F186A"/>
    <w:rsid w:val="0FF616CB"/>
    <w:rsid w:val="101E0C59"/>
    <w:rsid w:val="10606C0E"/>
    <w:rsid w:val="10700CE8"/>
    <w:rsid w:val="112B703D"/>
    <w:rsid w:val="11567CDA"/>
    <w:rsid w:val="119554AD"/>
    <w:rsid w:val="12B016DF"/>
    <w:rsid w:val="12B618E9"/>
    <w:rsid w:val="12E453CD"/>
    <w:rsid w:val="13612D67"/>
    <w:rsid w:val="136A1808"/>
    <w:rsid w:val="14461505"/>
    <w:rsid w:val="14520E35"/>
    <w:rsid w:val="14A17E96"/>
    <w:rsid w:val="14FD250F"/>
    <w:rsid w:val="152C4EF6"/>
    <w:rsid w:val="155D6A19"/>
    <w:rsid w:val="15610E6C"/>
    <w:rsid w:val="15D65236"/>
    <w:rsid w:val="1602594F"/>
    <w:rsid w:val="160A14CE"/>
    <w:rsid w:val="161A6E3A"/>
    <w:rsid w:val="17CE5CFA"/>
    <w:rsid w:val="17D13CA1"/>
    <w:rsid w:val="17EE6DD5"/>
    <w:rsid w:val="1870696C"/>
    <w:rsid w:val="18971C83"/>
    <w:rsid w:val="19706D10"/>
    <w:rsid w:val="1A433568"/>
    <w:rsid w:val="1A602BFF"/>
    <w:rsid w:val="1AE73CAF"/>
    <w:rsid w:val="1AEA606F"/>
    <w:rsid w:val="1B0928AC"/>
    <w:rsid w:val="1B181EF6"/>
    <w:rsid w:val="1B8807DB"/>
    <w:rsid w:val="1BAB6B99"/>
    <w:rsid w:val="1BFFCF3B"/>
    <w:rsid w:val="1C0D223C"/>
    <w:rsid w:val="1C952BCD"/>
    <w:rsid w:val="1CE87BD3"/>
    <w:rsid w:val="1D23231B"/>
    <w:rsid w:val="1DB63F0E"/>
    <w:rsid w:val="1E384D03"/>
    <w:rsid w:val="1EB82F66"/>
    <w:rsid w:val="1EEF96E1"/>
    <w:rsid w:val="1EF75003"/>
    <w:rsid w:val="1F36BD4E"/>
    <w:rsid w:val="1F5A5945"/>
    <w:rsid w:val="1FBB4BAE"/>
    <w:rsid w:val="1FD41DFB"/>
    <w:rsid w:val="1FD84675"/>
    <w:rsid w:val="20B20AF0"/>
    <w:rsid w:val="20DB2921"/>
    <w:rsid w:val="21A63BDD"/>
    <w:rsid w:val="21B9509E"/>
    <w:rsid w:val="22D4098E"/>
    <w:rsid w:val="23617475"/>
    <w:rsid w:val="2402113E"/>
    <w:rsid w:val="241867DF"/>
    <w:rsid w:val="24600BC6"/>
    <w:rsid w:val="24F04AA5"/>
    <w:rsid w:val="254C542F"/>
    <w:rsid w:val="258F2ED5"/>
    <w:rsid w:val="265D0305"/>
    <w:rsid w:val="26A13971"/>
    <w:rsid w:val="277B0D12"/>
    <w:rsid w:val="27B25A65"/>
    <w:rsid w:val="27ED5566"/>
    <w:rsid w:val="28225978"/>
    <w:rsid w:val="282F61AF"/>
    <w:rsid w:val="28780552"/>
    <w:rsid w:val="29362117"/>
    <w:rsid w:val="293E0FBF"/>
    <w:rsid w:val="295914B2"/>
    <w:rsid w:val="29774726"/>
    <w:rsid w:val="299241CD"/>
    <w:rsid w:val="2A0D13BA"/>
    <w:rsid w:val="2A445336"/>
    <w:rsid w:val="2A8844DE"/>
    <w:rsid w:val="2A9D49F2"/>
    <w:rsid w:val="2AC40A52"/>
    <w:rsid w:val="2B45650A"/>
    <w:rsid w:val="2BCF7B17"/>
    <w:rsid w:val="2C7812F8"/>
    <w:rsid w:val="2CEC6C23"/>
    <w:rsid w:val="2D064114"/>
    <w:rsid w:val="2D102B4D"/>
    <w:rsid w:val="2D415BF0"/>
    <w:rsid w:val="2D687A1E"/>
    <w:rsid w:val="2D9620F8"/>
    <w:rsid w:val="2DE76045"/>
    <w:rsid w:val="2EAC0E80"/>
    <w:rsid w:val="2EE64CF0"/>
    <w:rsid w:val="2EEE00FA"/>
    <w:rsid w:val="2EF10A81"/>
    <w:rsid w:val="2F815B65"/>
    <w:rsid w:val="2FCB06DB"/>
    <w:rsid w:val="30141293"/>
    <w:rsid w:val="301E555D"/>
    <w:rsid w:val="309C6338"/>
    <w:rsid w:val="310549E1"/>
    <w:rsid w:val="311473B7"/>
    <w:rsid w:val="31BB4EBA"/>
    <w:rsid w:val="32C5291B"/>
    <w:rsid w:val="32D05887"/>
    <w:rsid w:val="32E52A37"/>
    <w:rsid w:val="3315013C"/>
    <w:rsid w:val="33ED7720"/>
    <w:rsid w:val="34480D5A"/>
    <w:rsid w:val="344B42AA"/>
    <w:rsid w:val="345377F3"/>
    <w:rsid w:val="34A73597"/>
    <w:rsid w:val="34EA4562"/>
    <w:rsid w:val="34FF6776"/>
    <w:rsid w:val="359850FF"/>
    <w:rsid w:val="359D0FE1"/>
    <w:rsid w:val="35AC2C5E"/>
    <w:rsid w:val="3628598B"/>
    <w:rsid w:val="363C410E"/>
    <w:rsid w:val="36C11B31"/>
    <w:rsid w:val="36FF7F5E"/>
    <w:rsid w:val="37CD47D5"/>
    <w:rsid w:val="37E2518A"/>
    <w:rsid w:val="37E45B68"/>
    <w:rsid w:val="380A4466"/>
    <w:rsid w:val="384C29E7"/>
    <w:rsid w:val="385B77CA"/>
    <w:rsid w:val="386A4B95"/>
    <w:rsid w:val="38CC4181"/>
    <w:rsid w:val="39521AD7"/>
    <w:rsid w:val="396F0824"/>
    <w:rsid w:val="3A8B45D2"/>
    <w:rsid w:val="3ADF4C31"/>
    <w:rsid w:val="3B232049"/>
    <w:rsid w:val="3B853849"/>
    <w:rsid w:val="3BF23E8F"/>
    <w:rsid w:val="3C0909A2"/>
    <w:rsid w:val="3C15560C"/>
    <w:rsid w:val="3C155E27"/>
    <w:rsid w:val="3C361575"/>
    <w:rsid w:val="3E5B60DB"/>
    <w:rsid w:val="3E7F5015"/>
    <w:rsid w:val="3F126BCB"/>
    <w:rsid w:val="3F6E3A91"/>
    <w:rsid w:val="40407E58"/>
    <w:rsid w:val="404279DA"/>
    <w:rsid w:val="40A85327"/>
    <w:rsid w:val="4168137C"/>
    <w:rsid w:val="4185020C"/>
    <w:rsid w:val="41DA6551"/>
    <w:rsid w:val="422E035B"/>
    <w:rsid w:val="42884370"/>
    <w:rsid w:val="43093F77"/>
    <w:rsid w:val="430D30DE"/>
    <w:rsid w:val="431830C6"/>
    <w:rsid w:val="434505D2"/>
    <w:rsid w:val="43472D70"/>
    <w:rsid w:val="43972BA8"/>
    <w:rsid w:val="45EB4D46"/>
    <w:rsid w:val="461E7264"/>
    <w:rsid w:val="46491924"/>
    <w:rsid w:val="4661066C"/>
    <w:rsid w:val="47451BBC"/>
    <w:rsid w:val="48071B80"/>
    <w:rsid w:val="481338AB"/>
    <w:rsid w:val="48417E1A"/>
    <w:rsid w:val="484358B2"/>
    <w:rsid w:val="48726BF8"/>
    <w:rsid w:val="49AB089F"/>
    <w:rsid w:val="49F7DB2F"/>
    <w:rsid w:val="4A3E6A6B"/>
    <w:rsid w:val="4A52417C"/>
    <w:rsid w:val="4A6070C7"/>
    <w:rsid w:val="4AB92653"/>
    <w:rsid w:val="4AE66B69"/>
    <w:rsid w:val="4AF334AC"/>
    <w:rsid w:val="4B24641B"/>
    <w:rsid w:val="4B880329"/>
    <w:rsid w:val="4BF60434"/>
    <w:rsid w:val="4C307B44"/>
    <w:rsid w:val="4C50048D"/>
    <w:rsid w:val="4CC03B0F"/>
    <w:rsid w:val="4D052E6E"/>
    <w:rsid w:val="4D235BF3"/>
    <w:rsid w:val="4D9D0FD2"/>
    <w:rsid w:val="4E67192D"/>
    <w:rsid w:val="4E772B1E"/>
    <w:rsid w:val="4EED3A1C"/>
    <w:rsid w:val="4F2272E3"/>
    <w:rsid w:val="4F4F00DF"/>
    <w:rsid w:val="4F8E720C"/>
    <w:rsid w:val="4F970E4F"/>
    <w:rsid w:val="4FAD0E40"/>
    <w:rsid w:val="4FB814EF"/>
    <w:rsid w:val="4FE353B7"/>
    <w:rsid w:val="50324ABC"/>
    <w:rsid w:val="506B6B63"/>
    <w:rsid w:val="50893502"/>
    <w:rsid w:val="50916EFF"/>
    <w:rsid w:val="50CE7774"/>
    <w:rsid w:val="524E4940"/>
    <w:rsid w:val="526762F7"/>
    <w:rsid w:val="52D07560"/>
    <w:rsid w:val="533F2A3E"/>
    <w:rsid w:val="537C22C5"/>
    <w:rsid w:val="53AA3EAE"/>
    <w:rsid w:val="540F0235"/>
    <w:rsid w:val="5423249A"/>
    <w:rsid w:val="54240F74"/>
    <w:rsid w:val="54B634B0"/>
    <w:rsid w:val="54F518C9"/>
    <w:rsid w:val="55321915"/>
    <w:rsid w:val="55494B8E"/>
    <w:rsid w:val="56DF11C6"/>
    <w:rsid w:val="57132F6C"/>
    <w:rsid w:val="57215CED"/>
    <w:rsid w:val="572F5EC4"/>
    <w:rsid w:val="57A94DBF"/>
    <w:rsid w:val="591C2500"/>
    <w:rsid w:val="59946483"/>
    <w:rsid w:val="5996217B"/>
    <w:rsid w:val="5A6718DD"/>
    <w:rsid w:val="5A6FB97B"/>
    <w:rsid w:val="5A773B38"/>
    <w:rsid w:val="5A8859BF"/>
    <w:rsid w:val="5B105140"/>
    <w:rsid w:val="5B223E3D"/>
    <w:rsid w:val="5BD23012"/>
    <w:rsid w:val="5C121A27"/>
    <w:rsid w:val="5C49464F"/>
    <w:rsid w:val="5D386D8A"/>
    <w:rsid w:val="5D38703D"/>
    <w:rsid w:val="5D5C66C4"/>
    <w:rsid w:val="5D670C3A"/>
    <w:rsid w:val="5DF27DC8"/>
    <w:rsid w:val="5E7441AB"/>
    <w:rsid w:val="5E8E7EB0"/>
    <w:rsid w:val="5F0F1450"/>
    <w:rsid w:val="5F8044F6"/>
    <w:rsid w:val="606A289A"/>
    <w:rsid w:val="60887648"/>
    <w:rsid w:val="61566A18"/>
    <w:rsid w:val="618C4B65"/>
    <w:rsid w:val="619201F9"/>
    <w:rsid w:val="61A06982"/>
    <w:rsid w:val="633A6E2C"/>
    <w:rsid w:val="63852D95"/>
    <w:rsid w:val="63872723"/>
    <w:rsid w:val="639500F2"/>
    <w:rsid w:val="63CE41E5"/>
    <w:rsid w:val="64AC7DC7"/>
    <w:rsid w:val="64F600CA"/>
    <w:rsid w:val="656E4556"/>
    <w:rsid w:val="65B7188F"/>
    <w:rsid w:val="66826EA1"/>
    <w:rsid w:val="66FB47C8"/>
    <w:rsid w:val="67A1512E"/>
    <w:rsid w:val="680D606C"/>
    <w:rsid w:val="68141DB6"/>
    <w:rsid w:val="681E7F30"/>
    <w:rsid w:val="68355D6D"/>
    <w:rsid w:val="68625F4E"/>
    <w:rsid w:val="68752384"/>
    <w:rsid w:val="68941BE2"/>
    <w:rsid w:val="68F26632"/>
    <w:rsid w:val="69D460C2"/>
    <w:rsid w:val="6A124648"/>
    <w:rsid w:val="6B286F67"/>
    <w:rsid w:val="6B460CDE"/>
    <w:rsid w:val="6B4F2406"/>
    <w:rsid w:val="6BE63F43"/>
    <w:rsid w:val="6C3F1051"/>
    <w:rsid w:val="6C66395C"/>
    <w:rsid w:val="6CA06FDA"/>
    <w:rsid w:val="6CCA640C"/>
    <w:rsid w:val="6CEC3138"/>
    <w:rsid w:val="6CF87E16"/>
    <w:rsid w:val="6D535020"/>
    <w:rsid w:val="6D650236"/>
    <w:rsid w:val="6DC9379C"/>
    <w:rsid w:val="6DEE0782"/>
    <w:rsid w:val="6E8F4191"/>
    <w:rsid w:val="6EA158D7"/>
    <w:rsid w:val="6EE0450C"/>
    <w:rsid w:val="6F044000"/>
    <w:rsid w:val="6F113A1C"/>
    <w:rsid w:val="6F1429FD"/>
    <w:rsid w:val="6F4FF8AF"/>
    <w:rsid w:val="6FA55229"/>
    <w:rsid w:val="6FAE5C22"/>
    <w:rsid w:val="704D044B"/>
    <w:rsid w:val="709565C1"/>
    <w:rsid w:val="71BA6C9A"/>
    <w:rsid w:val="71F2663D"/>
    <w:rsid w:val="71FF49DA"/>
    <w:rsid w:val="72052F86"/>
    <w:rsid w:val="72913515"/>
    <w:rsid w:val="734325A8"/>
    <w:rsid w:val="73466014"/>
    <w:rsid w:val="752CAF5B"/>
    <w:rsid w:val="757B3D11"/>
    <w:rsid w:val="75F65014"/>
    <w:rsid w:val="764D5D76"/>
    <w:rsid w:val="7682421B"/>
    <w:rsid w:val="76C53890"/>
    <w:rsid w:val="77355736"/>
    <w:rsid w:val="77754195"/>
    <w:rsid w:val="7788136B"/>
    <w:rsid w:val="77EAC9C4"/>
    <w:rsid w:val="785F01E1"/>
    <w:rsid w:val="786E23C9"/>
    <w:rsid w:val="78725D4F"/>
    <w:rsid w:val="789D7A20"/>
    <w:rsid w:val="78C43987"/>
    <w:rsid w:val="79194C3C"/>
    <w:rsid w:val="79333CA3"/>
    <w:rsid w:val="79376D3C"/>
    <w:rsid w:val="794C66ED"/>
    <w:rsid w:val="796FB013"/>
    <w:rsid w:val="798E34C1"/>
    <w:rsid w:val="799529A2"/>
    <w:rsid w:val="79AE5508"/>
    <w:rsid w:val="79CA028A"/>
    <w:rsid w:val="7A1E36CD"/>
    <w:rsid w:val="7A5BEC4B"/>
    <w:rsid w:val="7A695A49"/>
    <w:rsid w:val="7ACF1D13"/>
    <w:rsid w:val="7AFFE704"/>
    <w:rsid w:val="7B600FA4"/>
    <w:rsid w:val="7B720713"/>
    <w:rsid w:val="7C09531C"/>
    <w:rsid w:val="7C664024"/>
    <w:rsid w:val="7CE47286"/>
    <w:rsid w:val="7D4D129F"/>
    <w:rsid w:val="7D552C8E"/>
    <w:rsid w:val="7DC44366"/>
    <w:rsid w:val="7EA038D8"/>
    <w:rsid w:val="7EC83075"/>
    <w:rsid w:val="7ED5311F"/>
    <w:rsid w:val="7EFD07E5"/>
    <w:rsid w:val="7F015D99"/>
    <w:rsid w:val="7F322AE2"/>
    <w:rsid w:val="7F521573"/>
    <w:rsid w:val="7F6654D0"/>
    <w:rsid w:val="7FA425A3"/>
    <w:rsid w:val="7FA568BA"/>
    <w:rsid w:val="7FD50DEE"/>
    <w:rsid w:val="7FEB7099"/>
    <w:rsid w:val="7FFA796A"/>
    <w:rsid w:val="7FFBEFB9"/>
    <w:rsid w:val="97FBCAAF"/>
    <w:rsid w:val="AF5E742C"/>
    <w:rsid w:val="B7AEE9BA"/>
    <w:rsid w:val="BEBF613D"/>
    <w:rsid w:val="BF979D14"/>
    <w:rsid w:val="BFFE3193"/>
    <w:rsid w:val="C5E7688E"/>
    <w:rsid w:val="D7AB9E0F"/>
    <w:rsid w:val="DBC946CB"/>
    <w:rsid w:val="DFED642A"/>
    <w:rsid w:val="E1EEEE41"/>
    <w:rsid w:val="E977AF5E"/>
    <w:rsid w:val="ED6F5EF1"/>
    <w:rsid w:val="EE6C56F5"/>
    <w:rsid w:val="EFF7BCC6"/>
    <w:rsid w:val="F773301C"/>
    <w:rsid w:val="F97523C9"/>
    <w:rsid w:val="FDF7F181"/>
    <w:rsid w:val="FF5395C0"/>
    <w:rsid w:val="FF5FD374"/>
    <w:rsid w:val="FFFDB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78" w:lineRule="auto"/>
    </w:pPr>
    <w:rPr>
      <w:rFonts w:ascii="Times New Roman" w:hAnsi="Times New Roman" w:eastAsia="Times New Roman" w:cs="Times New Roman"/>
      <w:sz w:val="24"/>
      <w:szCs w:val="24"/>
      <w:lang w:val="en-US" w:eastAsia="en-US"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pPr>
      <w:spacing w:line="480" w:lineRule="atLeast"/>
    </w:pPr>
    <w:rPr>
      <w:rFonts w:ascii="楷体_GB2312" w:eastAsia="楷体_GB2312"/>
      <w:b/>
      <w:sz w:val="30"/>
    </w:rPr>
  </w:style>
  <w:style w:type="paragraph" w:styleId="3">
    <w:name w:val="annotation text"/>
    <w:basedOn w:val="1"/>
    <w:qFormat/>
    <w:uiPriority w:val="0"/>
  </w:style>
  <w:style w:type="paragraph" w:styleId="4">
    <w:name w:val="footer"/>
    <w:basedOn w:val="1"/>
    <w:link w:val="13"/>
    <w:qFormat/>
    <w:uiPriority w:val="0"/>
    <w:pPr>
      <w:tabs>
        <w:tab w:val="center" w:pos="4153"/>
        <w:tab w:val="right" w:pos="8306"/>
      </w:tabs>
      <w:snapToGrid w:val="0"/>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pPr>
    <w:rPr>
      <w:lang w:eastAsia="zh-CN"/>
    </w:rPr>
  </w:style>
  <w:style w:type="paragraph" w:styleId="7">
    <w:name w:val="Body Text First Indent"/>
    <w:basedOn w:val="2"/>
    <w:qFormat/>
    <w:uiPriority w:val="0"/>
    <w:pPr>
      <w:spacing w:after="120" w:line="240" w:lineRule="auto"/>
      <w:ind w:firstLine="420" w:firstLineChars="100"/>
    </w:pPr>
    <w:rPr>
      <w:rFonts w:ascii="Times New Roman" w:eastAsia="宋体"/>
      <w:b w:val="0"/>
      <w:sz w:val="21"/>
    </w:rPr>
  </w:style>
  <w:style w:type="paragraph" w:customStyle="1" w:styleId="10">
    <w:name w:val="表格文字"/>
    <w:basedOn w:val="1"/>
    <w:qFormat/>
    <w:uiPriority w:val="0"/>
    <w:pPr>
      <w:spacing w:beforeLines="5" w:afterLines="5" w:line="200" w:lineRule="atLeast"/>
      <w:ind w:left="10" w:leftChars="10"/>
    </w:pPr>
    <w:rPr>
      <w:rFonts w:ascii="宋体" w:hAnsi="宋体"/>
      <w:color w:val="000000"/>
      <w:sz w:val="20"/>
    </w:rPr>
  </w:style>
  <w:style w:type="paragraph" w:customStyle="1" w:styleId="11">
    <w:name w:val="Heading2"/>
    <w:basedOn w:val="1"/>
    <w:next w:val="1"/>
    <w:qFormat/>
    <w:uiPriority w:val="0"/>
    <w:pPr>
      <w:keepNext/>
      <w:keepLines/>
      <w:snapToGrid w:val="0"/>
      <w:spacing w:before="120" w:after="120" w:line="560" w:lineRule="exact"/>
      <w:jc w:val="center"/>
      <w:textAlignment w:val="baseline"/>
    </w:pPr>
    <w:rPr>
      <w:rFonts w:ascii="Arial" w:hAnsi="Arial" w:eastAsia="仿宋"/>
      <w:b/>
      <w:bCs/>
      <w:kern w:val="2"/>
      <w:sz w:val="30"/>
      <w:szCs w:val="32"/>
      <w:lang w:eastAsia="zh-CN"/>
    </w:rPr>
  </w:style>
  <w:style w:type="character" w:customStyle="1" w:styleId="12">
    <w:name w:val="页眉 字符"/>
    <w:link w:val="5"/>
    <w:qFormat/>
    <w:uiPriority w:val="0"/>
    <w:rPr>
      <w:rFonts w:eastAsia="Times New Roman"/>
      <w:sz w:val="18"/>
      <w:szCs w:val="18"/>
      <w:lang w:eastAsia="en-US"/>
    </w:rPr>
  </w:style>
  <w:style w:type="character" w:customStyle="1" w:styleId="13">
    <w:name w:val="页脚 字符"/>
    <w:link w:val="4"/>
    <w:qFormat/>
    <w:uiPriority w:val="0"/>
    <w:rPr>
      <w:rFonts w:eastAsia="Times New Roman"/>
      <w:sz w:val="18"/>
      <w:szCs w:val="18"/>
      <w:lang w:eastAsia="en-US"/>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6</Pages>
  <Words>2281</Words>
  <Characters>2356</Characters>
  <Lines>68</Lines>
  <Paragraphs>40</Paragraphs>
  <TotalTime>3</TotalTime>
  <ScaleCrop>false</ScaleCrop>
  <LinksUpToDate>false</LinksUpToDate>
  <CharactersWithSpaces>2356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2019-09-27T17:24:00Z</dcterms:created>
  <dc:creator>陶晓鹏</dc:creator>
  <cp:lastModifiedBy>陈庭轩</cp:lastModifiedBy>
  <cp:lastPrinted>2024-04-18T09:33:00Z</cp:lastPrinted>
  <dcterms:modified xsi:type="dcterms:W3CDTF">2026-09-15T07:00:52Z</dcterms:modified>
  <dc:title>采购项目用户需求书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97CCB8776A4A428B9C0415F835A63496_12</vt:lpwstr>
  </property>
  <property fmtid="{D5CDD505-2E9C-101B-9397-08002B2CF9AE}" pid="4" name="KSOTemplateDocerSaveRecord">
    <vt:lpwstr>eyJoZGlkIjoiYmEwOWEyMmVjMzY5MzVjMjQ1MTc5NWFmZWJkZGJhYzAiLCJ1c2VySWQiOiI0NTI5MDkyMjEifQ==</vt:lpwstr>
  </property>
</Properties>
</file>