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2020年度产业规划类专利导航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项目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中期检查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清单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rPr>
          <w:rFonts w:hint="default" w:ascii="Times New Roman" w:hAnsi="Times New Roman" w:eastAsia="仿宋_GB2312" w:cs="Times New Roman"/>
          <w:b/>
          <w:bCs/>
          <w:color w:val="000000"/>
          <w:spacing w:val="14"/>
          <w:kern w:val="0"/>
          <w:sz w:val="32"/>
          <w:szCs w:val="32"/>
          <w:lang w:val="en-US" w:eastAsia="zh-CN" w:bidi="ar-SA"/>
        </w:rPr>
      </w:pPr>
    </w:p>
    <w:tbl>
      <w:tblPr>
        <w:tblStyle w:val="4"/>
        <w:tblW w:w="1019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3983"/>
        <w:gridCol w:w="53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jc w:val="center"/>
              <w:textAlignment w:val="top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jc w:val="center"/>
              <w:textAlignment w:val="top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产业领域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jc w:val="center"/>
              <w:textAlignment w:val="top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生物医药产业领域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广州华进联合专利商标代理有限公司东莞分公司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增材制造（3D）打印装备产业领域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广州华进联合专利商标代理有限公司东莞分公司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电线电缆产业领域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东莞市电线电缆行业协会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超快激光产业领域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东莞市三航军民融合创新研究院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区块链产业领域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东莞市卓智知识产权服务有限公司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新能源汽车产业领域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东莞市智动力科技服务有限公司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集成电路产业领域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东莞市智动力科技服务有限公司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车载终端产业领域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东莞智邦知识产权咨询有限公司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工业机器人产业领域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东莞市机器人产业协会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新材料产业领域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东莞市肖创信息科技服务有限公司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高端数控加工设备产业领域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东莞职业技术学院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物联网通信天线产业领域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东莞同济大学研究院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高端装备制造产业领域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东莞市谢岗高端装备制造行业协会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关键电子元器件产业领域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东莞市知识产权保护协会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3C产业领域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东莞市智能制造产业协会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第三代半导体芯片产业领域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东莞市卓智知识产权服务有限公司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电子信息产业领域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东莞市电子信息产业协会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模具产业领域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东莞市机械模具产业协会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高性能电池产业领域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东莞智邦知识产权咨询有限公司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虚拟现实（VR）产业领域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东莞职业技术学院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>附件1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25697"/>
    <w:rsid w:val="384D415A"/>
    <w:rsid w:val="39421ACB"/>
    <w:rsid w:val="61625697"/>
    <w:rsid w:val="63E224EA"/>
    <w:rsid w:val="76E4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2021-02-22T02:30:00Z</dcterms:created>
  <dc:creator>潘俊炜</dc:creator>
  <cp:lastModifiedBy>杉*-*杉</cp:lastModifiedBy>
  <dcterms:modified xsi:type="dcterms:W3CDTF">2021-03-03T10:56:21Z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