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25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72"/>
        <w:gridCol w:w="1684"/>
        <w:gridCol w:w="5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高价值专</w:t>
            </w:r>
            <w:bookmarkStart w:id="0" w:name="_GoBack"/>
            <w:bookmarkEnd w:id="0"/>
            <w:r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利组合培育项目中期检查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工作评审会议时间安排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汇报时间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2021年5月27日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10:20-10:40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广东生益科技股份有限公司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10:40-11:00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广东凯金新能源科技股份有限公司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11:00-11:20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广东菲鹏生物有限公司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11:20-11:40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14:00-14:20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广东铭利达科技有限公司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14:20-14:40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东莞理工学院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14:40-15:00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东莞市冠佳电子设备有限公司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15:00-15:20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广东拓斯达科技股份有限公司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15:20-15:40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广东福德电子有限公司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2021年5月28日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10:00-10:20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东莞宜安科技股份有限公司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10:20-10:40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10:40-11:00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东莞市雄林新材料科技股份有限公司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11:00-11:20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南兴装备股份有限公司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11:20-11:40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广东艾檬电子科技有限公司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14:00-14:20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14:20-14:40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东莞市小精灵教育软件有限公司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14:40-15:00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东莞塔菲尔新能源科技有限公司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4559"/>
    <w:rsid w:val="01145CFE"/>
    <w:rsid w:val="4BB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2021-05-18T01:40:00Z</dcterms:created>
  <dc:creator>潘俊炜</dc:creator>
  <cp:lastModifiedBy>潘俊炜</cp:lastModifiedBy>
  <dcterms:modified xsi:type="dcterms:W3CDTF">2021-05-18T02:10:24Z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F8B023F08B75483BA8EC6889F4F8D363</vt:lpwstr>
  </property>
</Properties>
</file>