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关于部分检验依据、项目的说明</w:t>
      </w:r>
    </w:p>
    <w:p>
      <w:pPr>
        <w:spacing w:line="600" w:lineRule="exact"/>
        <w:ind w:firstLine="643" w:firstLineChars="200"/>
        <w:rPr>
          <w:rFonts w:ascii="仿宋_GB2312" w:hAnsi="Times New Roman" w:eastAsia="仿宋_GB2312"/>
          <w:b/>
          <w:sz w:val="32"/>
          <w:szCs w:val="32"/>
        </w:rPr>
      </w:pPr>
    </w:p>
    <w:p>
      <w:pPr>
        <w:pStyle w:val="9"/>
        <w:numPr>
          <w:ilvl w:val="0"/>
          <w:numId w:val="1"/>
        </w:numPr>
        <w:spacing w:line="600" w:lineRule="exact"/>
        <w:ind w:left="958" w:leftChars="304" w:hanging="320" w:hangingChars="1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抽检依据</w:t>
      </w:r>
    </w:p>
    <w:p>
      <w:pPr>
        <w:pStyle w:val="9"/>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餐饮食品</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 食品添加剂使用标准》（GB 2760-2014），《食品安全国家标准 食品中污染物限量》（GB 2762-2017）等标准及产品明示标准和指标的要求。</w:t>
      </w:r>
    </w:p>
    <w:p>
      <w:pPr>
        <w:pStyle w:val="9"/>
        <w:numPr>
          <w:ilvl w:val="0"/>
          <w:numId w:val="2"/>
        </w:numPr>
        <w:spacing w:line="600" w:lineRule="exact"/>
        <w:ind w:firstLine="64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茶叶及相关制品</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《食品安全国家标准食品中污染物限量》(GB2762-2017)、《食品安全国家标准食品中农药最大残留限量》(GB2763-2019)等标准及产品明示标准和指标的要求。</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（三）炒货食品及坚果制品</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《食品安全国家标准坚果与籽类食品》(GB19300-2014)、《熟制葵花籽和仁》（SB/T 10553-2009）等标准及产品明示标准和指标的要求。</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（四）糕点</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《面包》（GB/T 20981-2007）、《食品中可能违法添加的非食用物质名单（第二批）》的通知（食品整治办[2009]5号）等标准及产品明示标准和指标的要求。</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（五）粮食加工品</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《食品安全国家标准食品中污染物限量》(GB2762-2017)、《食品安全国家标准食品添加剂使用标准》(GB2760-2014)等标准及产品明示标准和指标的要求。</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（六）肉制品</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《食品安全国家标准</w:t>
      </w:r>
      <w:r>
        <w:rPr>
          <w:rFonts w:hint="eastAsia" w:hAnsi="宋体" w:eastAsia="仿宋_GB2312" w:cs="Times New Roman"/>
          <w:color w:val="auto"/>
          <w:kern w:val="2"/>
          <w:sz w:val="32"/>
          <w:szCs w:val="32"/>
          <w:lang w:val="en-US" w:eastAsia="zh-CN"/>
        </w:rPr>
        <w:t xml:space="preserve"> </w:t>
      </w:r>
      <w:r>
        <w:rPr>
          <w:rFonts w:hint="eastAsia" w:hAnsi="宋体" w:eastAsia="仿宋_GB2312" w:cs="Times New Roman"/>
          <w:color w:val="auto"/>
          <w:kern w:val="2"/>
          <w:sz w:val="32"/>
          <w:szCs w:val="32"/>
        </w:rPr>
        <w:t>腌腊肉制品》(GB2730-2015)、《食品中可能违法添加的非食用物质和易滥用的食品添加剂品种名单(第五批)》的通知(整顿办函[2011]1号)等标准及产品明示标准和指标的要求。</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（七）食用农产品</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《食品安全国家标准 食品中兽药最大残留限量》(GB 31650-2019)、《食品动物中禁止使用的药品及其他化合物清单》(农业农村部公告第250号)、《食品安全国家标准 食品中污染物限量》(GB 2762-2017)、《食品安全国家标准 食品中农药最大残留限量》(GB 2763-2019)、《食品中可能违法添加的非食用物质和易滥用的食品添加剂名单（第四批）》(整顿办函〔2010〕50号 )、《兽药地方标准废止目录》(农业部公告第560号)等标准及产品明示标准和指标的要求。</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（八）食用油、油脂及其制品</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hAnsi="宋体" w:eastAsia="仿宋_GB2312" w:cs="Times New Roman"/>
          <w:color w:val="auto"/>
          <w:kern w:val="2"/>
          <w:sz w:val="32"/>
          <w:szCs w:val="32"/>
        </w:rPr>
        <w:t>《食品安全国家标准植物油》(GB2716-2018)</w:t>
      </w:r>
      <w:r>
        <w:rPr>
          <w:rFonts w:hint="eastAsia" w:ascii="仿宋_GB2312" w:hAnsi="仿宋_GB2312" w:eastAsia="仿宋_GB2312" w:cs="仿宋_GB2312"/>
          <w:color w:val="auto"/>
          <w:kern w:val="2"/>
          <w:sz w:val="32"/>
          <w:szCs w:val="32"/>
        </w:rPr>
        <w:t xml:space="preserve"> 等标准及产品明示标准和指标的要求。</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（九）水产制品</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hAnsi="宋体" w:eastAsia="仿宋_GB2312" w:cs="Times New Roman"/>
          <w:color w:val="auto"/>
          <w:kern w:val="2"/>
          <w:sz w:val="32"/>
          <w:szCs w:val="32"/>
        </w:rPr>
        <w:t>《食品安全国家标准 食品中污染物限量》(GB 2762-2017)</w:t>
      </w:r>
      <w:r>
        <w:rPr>
          <w:rFonts w:hint="eastAsia" w:ascii="仿宋_GB2312" w:hAnsi="仿宋_GB2312" w:eastAsia="仿宋_GB2312" w:cs="仿宋_GB2312"/>
          <w:color w:val="auto"/>
          <w:kern w:val="2"/>
          <w:sz w:val="32"/>
          <w:szCs w:val="32"/>
        </w:rPr>
        <w:t>等标准及产品明示标准和指标的要求。</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（十）水果制品</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hAnsi="宋体" w:eastAsia="仿宋_GB2312" w:cs="Times New Roman"/>
          <w:color w:val="auto"/>
          <w:kern w:val="2"/>
          <w:sz w:val="32"/>
          <w:szCs w:val="32"/>
        </w:rPr>
        <w:t>《食品安全国家标准 食品添加剂使用标准》(GB 2760-2014)</w:t>
      </w:r>
      <w:r>
        <w:rPr>
          <w:rFonts w:hint="eastAsia" w:ascii="仿宋_GB2312" w:hAnsi="仿宋_GB2312" w:eastAsia="仿宋_GB2312" w:cs="仿宋_GB2312"/>
          <w:color w:val="auto"/>
          <w:kern w:val="2"/>
          <w:sz w:val="32"/>
          <w:szCs w:val="32"/>
        </w:rPr>
        <w:t>等标准及产品明示标准和指标的要求。</w:t>
      </w:r>
    </w:p>
    <w:p>
      <w:pPr>
        <w:pStyle w:val="9"/>
        <w:spacing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（十一）速冻食品</w:t>
      </w:r>
    </w:p>
    <w:p>
      <w:pPr>
        <w:pStyle w:val="9"/>
        <w:spacing w:line="600" w:lineRule="exact"/>
        <w:ind w:firstLine="640" w:firstLineChars="2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速冻调制食品》(SB/T10379-2012)、《食品安全国家标准食品中污染物限量》(GB2762-2017)、《食品安全国家标准食品添加剂使用标准》(GB2760-2014)、《食品中可能违法添加的非食用物质和易滥用的食品添加剂品种名单(第五批)》的通知(整顿办函[2011]1号)</w:t>
      </w:r>
      <w:r>
        <w:rPr>
          <w:rFonts w:hint="eastAsia" w:ascii="仿宋_GB2312" w:hAnsi="仿宋_GB2312" w:eastAsia="仿宋_GB2312" w:cs="仿宋_GB2312"/>
          <w:color w:val="auto"/>
          <w:kern w:val="2"/>
          <w:sz w:val="32"/>
          <w:szCs w:val="32"/>
        </w:rPr>
        <w:t>等标准及产品明示标准和指标的要求。</w:t>
      </w:r>
    </w:p>
    <w:p>
      <w:pPr>
        <w:pStyle w:val="9"/>
        <w:numPr>
          <w:ilvl w:val="0"/>
          <w:numId w:val="1"/>
        </w:numPr>
        <w:spacing w:line="600" w:lineRule="exact"/>
        <w:ind w:left="958" w:leftChars="304" w:hanging="320" w:hangingChars="10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检验项目的说明</w:t>
      </w:r>
    </w:p>
    <w:p>
      <w:pPr>
        <w:pStyle w:val="9"/>
        <w:spacing w:line="600" w:lineRule="exact"/>
        <w:ind w:firstLine="480" w:firstLineChars="150"/>
        <w:jc w:val="both"/>
        <w:rPr>
          <w:rFonts w:hAnsi="宋体" w:eastAsia="仿宋_GB2312" w:cs="Times New Roman"/>
          <w:color w:val="auto"/>
          <w:kern w:val="2"/>
          <w:sz w:val="32"/>
          <w:szCs w:val="32"/>
        </w:rPr>
      </w:pPr>
      <w:r>
        <w:rPr>
          <w:rFonts w:hint="eastAsia" w:hAnsi="宋体" w:eastAsia="仿宋_GB2312" w:cs="Times New Roman"/>
          <w:color w:val="auto"/>
          <w:kern w:val="2"/>
          <w:sz w:val="32"/>
          <w:szCs w:val="32"/>
        </w:rPr>
        <w:t>（一）4-氯苯氧乙酸钠(以4-氯苯氧乙酸计)</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4-氯苯氧乙酸钠（以4-氯苯氧乙酸计）又称防落素、保果灵，是一种植物生长调节剂。主要用于防止落花落果、抑制豆类生根等。《国家食品药品监督管理总局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可能是由于生产者在豆芽生产过程中为了抑制豆芽生根，提高豆芽产量，从而违规使用相关农药。</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（二）苯甲酸及其钠盐(以苯甲酸计)</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苯甲酸及其钠盐是食品工业中常见的一种防腐保鲜剂，对霉菌、酵母和细菌有较好的抑制作用。安全性较高，少量苯甲酸对人体无毒害，可随尿液排出体外，在人体内不会蓄积。</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（三）毒死蜱</w:t>
      </w:r>
    </w:p>
    <w:p>
      <w:pPr>
        <w:pStyle w:val="5"/>
        <w:spacing w:beforeAutospacing="0" w:afterAutospacing="0" w:line="594"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毒死蜱又名氯吡硫磷，是一种硫代磷酸酯类有机磷杀虫、杀螨剂</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《食品安全国家标准 食品中农药最大残留限量》（GB 2763</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2019）中规定，毒死蜱在芹菜中的最大残留限量</w:t>
      </w:r>
      <w:r>
        <w:rPr>
          <w:rFonts w:hint="eastAsia" w:ascii="仿宋_GB2312" w:hAnsi="仿宋_GB2312" w:eastAsia="仿宋_GB2312" w:cs="仿宋_GB2312"/>
          <w:kern w:val="2"/>
          <w:sz w:val="32"/>
          <w:szCs w:val="32"/>
        </w:rPr>
        <w:t>值</w:t>
      </w:r>
      <w:r>
        <w:rPr>
          <w:rFonts w:ascii="仿宋_GB2312" w:hAnsi="仿宋_GB2312" w:eastAsia="仿宋_GB2312" w:cs="仿宋_GB2312"/>
          <w:kern w:val="2"/>
          <w:sz w:val="32"/>
          <w:szCs w:val="32"/>
        </w:rPr>
        <w:t>为0.05mg/kg。</w:t>
      </w:r>
      <w:r>
        <w:rPr>
          <w:rFonts w:hint="eastAsia" w:ascii="仿宋_GB2312" w:hAnsi="仿宋_GB2312" w:eastAsia="仿宋_GB2312" w:cs="仿宋_GB2312"/>
          <w:kern w:val="2"/>
          <w:sz w:val="32"/>
          <w:szCs w:val="32"/>
        </w:rPr>
        <w:t>芹菜中毒死蜱</w:t>
      </w:r>
      <w:r>
        <w:rPr>
          <w:rFonts w:ascii="仿宋_GB2312" w:hAnsi="仿宋_GB2312" w:eastAsia="仿宋_GB2312" w:cs="仿宋_GB2312"/>
          <w:kern w:val="2"/>
          <w:sz w:val="32"/>
          <w:szCs w:val="32"/>
        </w:rPr>
        <w:t>超标的原因</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可能是</w:t>
      </w:r>
      <w:r>
        <w:rPr>
          <w:rFonts w:hint="eastAsia" w:ascii="仿宋_GB2312" w:hAnsi="仿宋_GB2312" w:eastAsia="仿宋_GB2312" w:cs="仿宋_GB2312"/>
          <w:kern w:val="2"/>
          <w:sz w:val="32"/>
          <w:szCs w:val="32"/>
        </w:rPr>
        <w:t>为</w:t>
      </w:r>
      <w:r>
        <w:rPr>
          <w:rFonts w:ascii="仿宋_GB2312" w:hAnsi="仿宋_GB2312" w:eastAsia="仿宋_GB2312" w:cs="仿宋_GB2312"/>
          <w:kern w:val="2"/>
          <w:sz w:val="32"/>
          <w:szCs w:val="32"/>
        </w:rPr>
        <w:t>快速控制病情</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加大用药量</w:t>
      </w:r>
      <w:r>
        <w:rPr>
          <w:rFonts w:hint="eastAsia" w:ascii="仿宋_GB2312" w:hAnsi="仿宋_GB2312" w:eastAsia="仿宋_GB2312" w:cs="仿宋_GB2312"/>
          <w:kern w:val="2"/>
          <w:sz w:val="32"/>
          <w:szCs w:val="32"/>
        </w:rPr>
        <w:t>或</w:t>
      </w:r>
      <w:r>
        <w:rPr>
          <w:rFonts w:ascii="仿宋_GB2312" w:hAnsi="仿宋_GB2312" w:eastAsia="仿宋_GB2312" w:cs="仿宋_GB2312"/>
          <w:kern w:val="2"/>
          <w:sz w:val="32"/>
          <w:szCs w:val="32"/>
        </w:rPr>
        <w:t>未遵守采摘间隔期</w:t>
      </w:r>
      <w:r>
        <w:rPr>
          <w:rFonts w:hint="eastAsia" w:ascii="仿宋_GB2312" w:hAnsi="仿宋_GB2312" w:eastAsia="仿宋_GB2312" w:cs="仿宋_GB2312"/>
          <w:kern w:val="2"/>
          <w:sz w:val="32"/>
          <w:szCs w:val="32"/>
        </w:rPr>
        <w:t>规定</w:t>
      </w:r>
      <w:r>
        <w:rPr>
          <w:rFonts w:ascii="仿宋_GB2312" w:hAnsi="仿宋_GB2312" w:eastAsia="仿宋_GB2312" w:cs="仿宋_GB2312"/>
          <w:kern w:val="2"/>
          <w:sz w:val="32"/>
          <w:szCs w:val="32"/>
        </w:rPr>
        <w:t>，致使上市销售时</w:t>
      </w:r>
      <w:r>
        <w:rPr>
          <w:rFonts w:hint="eastAsia" w:ascii="仿宋_GB2312" w:hAnsi="仿宋_GB2312" w:eastAsia="仿宋_GB2312" w:cs="仿宋_GB2312"/>
          <w:kern w:val="2"/>
          <w:sz w:val="32"/>
          <w:szCs w:val="32"/>
        </w:rPr>
        <w:t>产品中的药物残留量</w:t>
      </w:r>
      <w:r>
        <w:rPr>
          <w:rFonts w:ascii="仿宋_GB2312" w:hAnsi="仿宋_GB2312" w:eastAsia="仿宋_GB2312" w:cs="仿宋_GB2312"/>
          <w:kern w:val="2"/>
          <w:sz w:val="32"/>
          <w:szCs w:val="32"/>
        </w:rPr>
        <w:t>未降解至标准限量</w:t>
      </w:r>
      <w:r>
        <w:rPr>
          <w:rFonts w:hint="eastAsia" w:ascii="仿宋_GB2312" w:hAnsi="仿宋_GB2312" w:eastAsia="仿宋_GB2312" w:cs="仿宋_GB2312"/>
          <w:kern w:val="2"/>
          <w:sz w:val="32"/>
          <w:szCs w:val="32"/>
        </w:rPr>
        <w:t>值以</w:t>
      </w:r>
      <w:r>
        <w:rPr>
          <w:rFonts w:ascii="仿宋_GB2312" w:hAnsi="仿宋_GB2312" w:eastAsia="仿宋_GB2312" w:cs="仿宋_GB2312"/>
          <w:kern w:val="2"/>
          <w:sz w:val="32"/>
          <w:szCs w:val="32"/>
        </w:rPr>
        <w:t>下。</w:t>
      </w:r>
    </w:p>
    <w:p>
      <w:pPr>
        <w:widowControl/>
        <w:snapToGrid w:val="0"/>
        <w:spacing w:line="580" w:lineRule="exact"/>
        <w:ind w:firstLine="480" w:firstLineChars="150"/>
        <w:rPr>
          <w:rFonts w:hAnsi="宋体" w:eastAsia="仿宋_GB2312"/>
          <w:sz w:val="32"/>
          <w:szCs w:val="32"/>
        </w:rPr>
      </w:pPr>
      <w:r>
        <w:rPr>
          <w:rFonts w:hint="eastAsia" w:hAnsi="宋体" w:eastAsia="仿宋_GB2312"/>
          <w:sz w:val="32"/>
          <w:szCs w:val="32"/>
        </w:rPr>
        <w:t>（四）恩诺沙星(以恩诺沙星与环丙沙星之和计)</w:t>
      </w:r>
    </w:p>
    <w:p>
      <w:pPr>
        <w:pStyle w:val="9"/>
        <w:spacing w:line="600" w:lineRule="exact"/>
        <w:ind w:firstLine="640" w:firstLineChars="200"/>
        <w:jc w:val="both"/>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lang w:val="zh-CN"/>
        </w:rPr>
        <w:t>恩诺沙星，又名恩氟奎林羧酸，属于氟喹诺酮类药物，化学合成广谱抑菌剂，在预防和治疗畜禽的细菌性感染及支原体病方面有良好效果。《食品安全国家标准 食品中兽药最大残留限量》(GB 31650-2019)规定，</w:t>
      </w:r>
      <w:r>
        <w:rPr>
          <w:rFonts w:hint="eastAsia" w:ascii="仿宋_GB2312" w:hAnsi="仿宋_GB2312" w:eastAsia="仿宋_GB2312" w:cs="仿宋_GB2312"/>
          <w:color w:val="auto"/>
          <w:kern w:val="2"/>
          <w:sz w:val="32"/>
          <w:szCs w:val="32"/>
        </w:rPr>
        <w:t>恩诺沙星</w:t>
      </w:r>
      <w:r>
        <w:rPr>
          <w:rFonts w:hint="eastAsia" w:ascii="仿宋_GB2312" w:hAnsi="仿宋_GB2312" w:eastAsia="仿宋_GB2312" w:cs="仿宋_GB2312"/>
          <w:color w:val="auto"/>
          <w:sz w:val="32"/>
          <w:szCs w:val="32"/>
        </w:rPr>
        <w:t>(以恩诺沙星与环丙沙星之和计)在</w:t>
      </w:r>
      <w:r>
        <w:rPr>
          <w:rFonts w:hint="eastAsia" w:ascii="仿宋_GB2312" w:hAnsi="仿宋_GB2312" w:eastAsia="仿宋_GB2312" w:cs="仿宋_GB2312"/>
          <w:color w:val="auto"/>
          <w:kern w:val="2"/>
          <w:sz w:val="32"/>
          <w:szCs w:val="32"/>
        </w:rPr>
        <w:t>家禽产蛋期禁用，而在</w:t>
      </w:r>
      <w:r>
        <w:rPr>
          <w:rFonts w:hint="eastAsia" w:ascii="仿宋_GB2312" w:hAnsi="仿宋_GB2312" w:eastAsia="仿宋_GB2312" w:cs="仿宋_GB2312"/>
          <w:color w:val="auto"/>
          <w:sz w:val="32"/>
          <w:szCs w:val="32"/>
        </w:rPr>
        <w:t>其他动物的肌肉、</w:t>
      </w:r>
      <w:r>
        <w:rPr>
          <w:rFonts w:hint="eastAsia" w:ascii="仿宋_GB2312" w:hAnsi="仿宋_GB2312" w:eastAsia="仿宋_GB2312" w:cs="仿宋_GB2312"/>
          <w:color w:val="auto"/>
          <w:kern w:val="2"/>
          <w:sz w:val="32"/>
          <w:szCs w:val="32"/>
          <w:lang w:val="zh-CN"/>
        </w:rPr>
        <w:t>鱼的皮和肉中的最大残留限量为100μg/kg。恩诺沙星超标的原因可能是养殖户在养殖过程中为快速控制疫病，违规加大用药量；也可能是养殖户不遵守休药期规定，致使产品上市销售时残留超标。</w:t>
      </w:r>
    </w:p>
    <w:p>
      <w:pPr>
        <w:pStyle w:val="9"/>
        <w:spacing w:line="600" w:lineRule="exact"/>
        <w:ind w:firstLine="480" w:firstLineChars="150"/>
        <w:jc w:val="both"/>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lang w:val="zh-CN"/>
        </w:rPr>
        <w:t>（五）防腐剂混合使用时各自用量占其最大使用量的比例之和</w:t>
      </w:r>
    </w:p>
    <w:p>
      <w:pPr>
        <w:spacing w:line="594"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防腐剂是常见的食品添加剂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指天然或合成的化学成分，用于延缓或抑制由微生物引起的食品腐败变质。《食品安全国家标准 食品添加剂使用标准》（GB 2760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2014）中规定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防腐剂在混合使用时各自用量占其最大使用量的比例之和不应超过1。</w:t>
      </w:r>
      <w:r>
        <w:rPr>
          <w:rFonts w:hint="eastAsia" w:ascii="仿宋_GB2312" w:hAnsi="仿宋_GB2312" w:eastAsia="仿宋_GB2312" w:cs="仿宋_GB2312"/>
          <w:sz w:val="32"/>
          <w:szCs w:val="32"/>
        </w:rPr>
        <w:t>水果制品</w:t>
      </w:r>
      <w:r>
        <w:rPr>
          <w:rFonts w:ascii="仿宋_GB2312" w:hAnsi="仿宋_GB2312" w:eastAsia="仿宋_GB2312" w:cs="仿宋_GB2312"/>
          <w:sz w:val="32"/>
          <w:szCs w:val="32"/>
        </w:rPr>
        <w:t>中防腐剂混合使用时各自用量占其最大使用量的比例之和超标的原因，可能是生产企业在生产加工过程中未严格控制各防腐剂的用量造成的。</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（六）呋喃唑酮代谢物</w:t>
      </w:r>
    </w:p>
    <w:p>
      <w:pPr>
        <w:widowControl/>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硝基呋喃类药物（呋喃它酮、呋喃唑酮、呋喃妥因、呋喃西林）是广谱抗生素，农业部规定该类药物为“禁止使用的药物，在动物性食品中不得检出”。呋喃类药物进入动物体内很快发生代谢，代谢产物在组织中存在较长时间。水产品中检出上述代谢物的原因，可能是养殖户在养殖过程中违规使用相关兽药。</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（七）腐霉利</w:t>
      </w:r>
    </w:p>
    <w:p>
      <w:pPr>
        <w:widowControl/>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腐霉利是一种低毒杀菌剂。《食品安全国家标准 食品中农药最大残留限量》（GB 2763-2019）规定了不同蔬菜中腐霉利的最大残留限量，其中允许韭菜的最大残留量为0.2mg/kg。不合格原因主要是种植过程中违规使用。</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（八）过氧化值(以脂肪计)</w:t>
      </w:r>
    </w:p>
    <w:p>
      <w:pPr>
        <w:pStyle w:val="11"/>
        <w:spacing w:line="594"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过氧化值是指油脂中不饱和脂肪酸被氧化形成过氧化物，是油脂酸败的早期指标。一般不会对人体健康造成损害，但食用过氧化值严重超标的食品可能导致肠胃不适、腹泻等症状。过氧化值超标的原因，可能是产品用油已经变质，或者产品在储存过程中环境条件控制不当导致产品酸败；也可能是原料中的脂肪已经氧化，原料储存不当，未采取有效的抗氧化措施，使得终产品油脂氧化。</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（九）菌落总数</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菌落总数是指示性微生物指标，不是致病菌指标，反映食品在生产过程中的卫生状况。如果食品的菌落总数严重超标，将会破坏食品的营养成分，使食品失去食用价值；还会加速食品腐败变质。</w:t>
      </w:r>
      <w:r>
        <w:rPr>
          <w:rFonts w:hint="eastAsia" w:ascii="仿宋_GB2312" w:hAnsi="仿宋_GB2312" w:eastAsia="仿宋_GB2312" w:cs="仿宋_GB2312"/>
          <w:sz w:val="32"/>
          <w:szCs w:val="32"/>
        </w:rPr>
        <w:t>糕点中</w:t>
      </w:r>
      <w:r>
        <w:rPr>
          <w:rFonts w:ascii="仿宋_GB2312" w:hAnsi="仿宋_GB2312" w:eastAsia="仿宋_GB2312" w:cs="仿宋_GB2312"/>
          <w:sz w:val="32"/>
          <w:szCs w:val="32"/>
        </w:rPr>
        <w:t>菌落总数超标的原因，可能是</w:t>
      </w:r>
      <w:r>
        <w:rPr>
          <w:rFonts w:hint="eastAsia" w:ascii="仿宋_GB2312" w:hAnsi="仿宋_GB2312" w:eastAsia="仿宋_GB2312" w:cs="仿宋_GB2312"/>
          <w:sz w:val="32"/>
          <w:szCs w:val="32"/>
        </w:rPr>
        <w:t>企业未按要求严格控制生产加工过程中的卫生条件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也</w:t>
      </w:r>
      <w:r>
        <w:rPr>
          <w:rFonts w:ascii="仿宋_GB2312" w:hAnsi="仿宋_GB2312" w:eastAsia="仿宋_GB2312" w:cs="仿宋_GB2312"/>
          <w:sz w:val="32"/>
          <w:szCs w:val="32"/>
        </w:rPr>
        <w:t>可能</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产品</w:t>
      </w:r>
      <w:r>
        <w:rPr>
          <w:rFonts w:hint="eastAsia" w:ascii="仿宋_GB2312" w:hAnsi="仿宋_GB2312" w:eastAsia="仿宋_GB2312" w:cs="仿宋_GB2312"/>
          <w:sz w:val="32"/>
          <w:szCs w:val="32"/>
        </w:rPr>
        <w:t>包装密封不严或</w:t>
      </w:r>
      <w:r>
        <w:rPr>
          <w:rFonts w:ascii="仿宋_GB2312" w:hAnsi="仿宋_GB2312" w:eastAsia="仿宋_GB2312" w:cs="仿宋_GB2312"/>
          <w:sz w:val="32"/>
          <w:szCs w:val="32"/>
        </w:rPr>
        <w:t>储运条件不当</w:t>
      </w:r>
      <w:r>
        <w:rPr>
          <w:rFonts w:hint="eastAsia" w:ascii="仿宋_GB2312" w:hAnsi="仿宋_GB2312" w:eastAsia="仿宋_GB2312" w:cs="仿宋_GB2312"/>
          <w:sz w:val="32"/>
          <w:szCs w:val="32"/>
        </w:rPr>
        <w:t>等有关</w:t>
      </w:r>
      <w:r>
        <w:rPr>
          <w:rFonts w:ascii="仿宋_GB2312" w:hAnsi="仿宋_GB2312" w:eastAsia="仿宋_GB2312" w:cs="仿宋_GB2312"/>
          <w:sz w:val="32"/>
          <w:szCs w:val="32"/>
        </w:rPr>
        <w:t>。</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zh-CN"/>
        </w:rPr>
        <w:t>克百威</w:t>
      </w:r>
    </w:p>
    <w:p>
      <w:pPr>
        <w:pStyle w:val="9"/>
        <w:spacing w:line="600" w:lineRule="exact"/>
        <w:ind w:firstLine="645"/>
        <w:jc w:val="both"/>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lang w:val="zh-CN"/>
        </w:rPr>
        <w:t>克百威，又名呋喃丹，是一种广谱性杀虫、杀螨、杀线虫剂，具有触杀、胃毒作用，和很强的内吸活性。农业部第 199 号公告明确规定克百威不得用于蔬菜、果树、茶叶、中草药材上。《食品安全国家标准 食品中农药最大残留限量》（GB 2763-2019）规定，克百威在豆类蔬菜中的最大残留限量为0.02mg/kg。</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（十一）孔雀石绿（孔雀石绿与隐色孔雀石绿之和）</w:t>
      </w:r>
    </w:p>
    <w:p>
      <w:pPr>
        <w:pStyle w:val="9"/>
        <w:spacing w:line="600" w:lineRule="exact"/>
        <w:ind w:firstLine="645"/>
        <w:jc w:val="both"/>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lang w:val="zh-CN"/>
        </w:rPr>
        <w:t>孔雀石绿一种合成的三苯甲烷类化学物，既能作为染料，也是杀真菌、杀细菌、杀寄生虫的药物，曾广泛用于杀灭原生动物、水产动物体外的寄生虫等，也用于预防和治疗鱼卵和鱼体的水霉病。国家禁止在水产品中使用孔雀石绿，造成水产品孔雀石绿不合格的原因可能是不法商贩在养殖过程或是在新鲜活鱼的运输过程中，加入孔雀石绿，降低新鲜活鱼的死亡率。</w:t>
      </w:r>
    </w:p>
    <w:p>
      <w:pPr>
        <w:widowControl/>
        <w:wordWrap/>
        <w:adjustRightInd/>
        <w:snapToGrid w:val="0"/>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zh-CN" w:eastAsia="zh-CN" w:bidi="ar-SA"/>
        </w:rPr>
        <w:t>（十二）灭蝇胺</w:t>
      </w:r>
    </w:p>
    <w:p>
      <w:pPr>
        <w:wordWrap/>
        <w:adjustRightInd/>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灭蝇胺是一种昆虫生长调节剂类低毒杀虫剂，有非常强的选择性，主要对双翅目昆虫有活性。</w:t>
      </w:r>
      <w:r>
        <w:rPr>
          <w:rFonts w:hint="eastAsia" w:ascii="仿宋_GB2312" w:hAnsi="仿宋_GB2312" w:eastAsia="仿宋_GB2312" w:cs="仿宋_GB2312"/>
          <w:color w:val="000000"/>
          <w:kern w:val="0"/>
          <w:sz w:val="32"/>
          <w:szCs w:val="32"/>
          <w:lang w:val="zh-CN" w:eastAsia="zh-CN" w:bidi="ar-SA"/>
        </w:rPr>
        <w:t>灭蝇胺适用于多种瓜果蔬菜，主要对"蝇类"害虫具有良好的杀虫作用。目前瓜果蔬菜生产中主要用于防治:各种瓜果类、茄果类、豆类及多种叶菜类蔬菜的</w:t>
      </w:r>
      <w:r>
        <w:rPr>
          <w:rFonts w:hint="eastAsia" w:ascii="仿宋_GB2312" w:hAnsi="仿宋_GB2312" w:eastAsia="仿宋_GB2312" w:cs="仿宋_GB2312"/>
          <w:color w:val="000000"/>
          <w:kern w:val="0"/>
          <w:sz w:val="32"/>
          <w:szCs w:val="32"/>
          <w:lang w:val="en-US" w:eastAsia="zh-CN" w:bidi="ar-SA"/>
        </w:rPr>
        <w:t>美洲</w:t>
      </w:r>
      <w:bookmarkStart w:id="0" w:name="_GoBack"/>
      <w:bookmarkEnd w:id="0"/>
      <w:r>
        <w:rPr>
          <w:rFonts w:hint="eastAsia" w:ascii="仿宋_GB2312" w:hAnsi="仿宋_GB2312" w:eastAsia="仿宋_GB2312" w:cs="仿宋_GB2312"/>
          <w:color w:val="000000"/>
          <w:kern w:val="0"/>
          <w:sz w:val="32"/>
          <w:szCs w:val="32"/>
          <w:lang w:val="zh-CN" w:eastAsia="zh-CN" w:bidi="ar-SA"/>
        </w:rPr>
        <w:t>斑潜蝇、南美斑潜蝇、豆杆黑潜蝇、葱斑潜叶蝇、三叶斑潜蝇等多种潜叶蝇，韭菜及葱、蒜的根蛆(韭菜赤眼草蚊)等。</w:t>
      </w:r>
      <w:r>
        <w:rPr>
          <w:rFonts w:hint="eastAsia" w:ascii="仿宋_GB2312" w:hAnsi="仿宋_GB2312" w:eastAsia="仿宋_GB2312" w:cs="仿宋_GB2312"/>
          <w:color w:val="000000"/>
          <w:kern w:val="0"/>
          <w:sz w:val="32"/>
          <w:szCs w:val="32"/>
          <w:lang w:val="en-US" w:eastAsia="zh-CN" w:bidi="ar-SA"/>
        </w:rPr>
        <w:t>灭蝇胺</w:t>
      </w:r>
      <w:r>
        <w:rPr>
          <w:rFonts w:hint="eastAsia" w:ascii="仿宋_GB2312" w:hAnsi="仿宋_GB2312" w:eastAsia="仿宋_GB2312" w:cs="仿宋_GB2312"/>
          <w:color w:val="000000"/>
          <w:kern w:val="0"/>
          <w:sz w:val="32"/>
          <w:szCs w:val="32"/>
          <w:lang w:val="zh-CN" w:eastAsia="zh-CN" w:bidi="ar-SA"/>
        </w:rPr>
        <w:t>持效期较长，但作用速度较慢。</w:t>
      </w:r>
      <w:r>
        <w:rPr>
          <w:rFonts w:hint="eastAsia" w:ascii="仿宋_GB2312" w:hAnsi="仿宋_GB2312" w:eastAsia="仿宋_GB2312" w:cs="仿宋_GB2312"/>
          <w:color w:val="000000"/>
          <w:kern w:val="0"/>
          <w:sz w:val="32"/>
          <w:szCs w:val="32"/>
          <w:lang w:val="en-US" w:eastAsia="zh-CN" w:bidi="ar-SA"/>
        </w:rPr>
        <w:t>《食品安全国家标准 食品中农药最大残留限量》（GB 2763-2019）中规定，灭蝇胺在豇豆蔬菜中的最大残留限量值为0.5mg/kg。在蔬菜农产品中造成灭蝇胺超标的主要原因，可能是由于菜农对使用农药的安全间隔期不了解，从而违规使用或滥用农药。</w:t>
      </w:r>
    </w:p>
    <w:p>
      <w:pPr>
        <w:widowControl/>
        <w:wordWrap/>
        <w:adjustRightInd/>
        <w:snapToGrid w:val="0"/>
        <w:spacing w:line="580" w:lineRule="exact"/>
        <w:ind w:left="0" w:leftChars="0" w:right="0" w:firstLine="640" w:firstLineChars="200"/>
        <w:jc w:val="both"/>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lang w:val="zh-CN" w:eastAsia="zh-CN" w:bidi="ar-SA"/>
        </w:rPr>
        <w:t>（十三）山梨酸及其钾盐</w:t>
      </w:r>
      <w:r>
        <w:rPr>
          <w:rFonts w:hint="eastAsia" w:ascii="仿宋_GB2312" w:hAnsi="仿宋_GB2312" w:eastAsia="仿宋_GB2312" w:cs="仿宋_GB2312"/>
          <w:sz w:val="32"/>
          <w:szCs w:val="32"/>
          <w:lang w:val="zh-CN"/>
        </w:rPr>
        <w:t>(以山梨酸计)</w:t>
      </w:r>
    </w:p>
    <w:p>
      <w:pPr>
        <w:pStyle w:val="9"/>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山梨酸及其钾盐抗菌性强，防腐效果好，是目前应用非常广泛的食品防腐剂。《食品安全国家标准 食品添加剂使用标准》（GB 2760-2014）中规定，山梨酸及其钾盐（以山梨酸计）在生湿面制品中不得使用。生湿面制品中检出山梨酸及其钾盐的原因，可能是生产者为增加产品保质期，或者为弥补产品生产中卫生条件不佳而使用。</w:t>
      </w:r>
    </w:p>
    <w:p>
      <w:pPr>
        <w:widowControl/>
        <w:snapToGrid w:val="0"/>
        <w:spacing w:line="580" w:lineRule="exact"/>
        <w:ind w:firstLine="480" w:firstLineChars="1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（十四）</w:t>
      </w:r>
      <w:r>
        <w:rPr>
          <w:rFonts w:hint="eastAsia" w:ascii="仿宋_GB2312" w:hAnsi="仿宋_GB2312" w:eastAsia="仿宋_GB2312" w:cs="仿宋_GB2312"/>
          <w:sz w:val="32"/>
          <w:szCs w:val="32"/>
          <w:lang w:val="zh-CN"/>
        </w:rPr>
        <w:t>水胺硫磷</w:t>
      </w:r>
    </w:p>
    <w:p>
      <w:pPr>
        <w:pStyle w:val="5"/>
        <w:spacing w:beforeAutospacing="0" w:afterAutospacing="0" w:line="594"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水胺硫磷是一种广谱、高效、高毒性、低残留的硫代磷酰胺类杀虫剂，主要用于防治果树、水稻和棉花害虫。《食品安全国家标准 食品中农药最大残留限量》（GB 2763</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2019）中规定，水胺硫磷在豆类蔬菜中的最大残留限量</w:t>
      </w:r>
      <w:r>
        <w:rPr>
          <w:rFonts w:hint="eastAsia" w:ascii="仿宋_GB2312" w:hAnsi="仿宋_GB2312" w:eastAsia="仿宋_GB2312" w:cs="仿宋_GB2312"/>
          <w:kern w:val="2"/>
          <w:sz w:val="32"/>
          <w:szCs w:val="32"/>
        </w:rPr>
        <w:t>值</w:t>
      </w:r>
      <w:r>
        <w:rPr>
          <w:rFonts w:ascii="仿宋_GB2312" w:hAnsi="仿宋_GB2312" w:eastAsia="仿宋_GB2312" w:cs="仿宋_GB2312"/>
          <w:kern w:val="2"/>
          <w:sz w:val="32"/>
          <w:szCs w:val="32"/>
        </w:rPr>
        <w:t>为0.0</w:t>
      </w:r>
      <w:r>
        <w:rPr>
          <w:rFonts w:hint="eastAsia" w:ascii="仿宋_GB2312" w:hAnsi="仿宋_GB2312" w:eastAsia="仿宋_GB2312" w:cs="仿宋_GB2312"/>
          <w:kern w:val="2"/>
          <w:sz w:val="32"/>
          <w:szCs w:val="32"/>
        </w:rPr>
        <w:t>5</w:t>
      </w:r>
      <w:r>
        <w:rPr>
          <w:rFonts w:ascii="仿宋_GB2312" w:hAnsi="仿宋_GB2312" w:eastAsia="仿宋_GB2312" w:cs="仿宋_GB2312"/>
          <w:kern w:val="2"/>
          <w:sz w:val="32"/>
          <w:szCs w:val="32"/>
        </w:rPr>
        <w:t>mg/kg</w:t>
      </w:r>
      <w:r>
        <w:rPr>
          <w:rFonts w:hint="eastAsia" w:ascii="仿宋_GB2312" w:hAnsi="仿宋_GB2312" w:eastAsia="仿宋_GB2312" w:cs="仿宋_GB2312"/>
          <w:kern w:val="2"/>
          <w:sz w:val="32"/>
          <w:szCs w:val="32"/>
        </w:rPr>
        <w:t>，茶叶中的最大</w:t>
      </w:r>
      <w:r>
        <w:rPr>
          <w:rFonts w:ascii="仿宋_GB2312" w:hAnsi="仿宋_GB2312" w:eastAsia="仿宋_GB2312" w:cs="仿宋_GB2312"/>
          <w:kern w:val="2"/>
          <w:sz w:val="32"/>
          <w:szCs w:val="32"/>
        </w:rPr>
        <w:t>残留限量</w:t>
      </w:r>
      <w:r>
        <w:rPr>
          <w:rFonts w:hint="eastAsia" w:ascii="仿宋_GB2312" w:hAnsi="仿宋_GB2312" w:eastAsia="仿宋_GB2312" w:cs="仿宋_GB2312"/>
          <w:kern w:val="2"/>
          <w:sz w:val="32"/>
          <w:szCs w:val="32"/>
        </w:rPr>
        <w:t>值</w:t>
      </w:r>
      <w:r>
        <w:rPr>
          <w:rFonts w:ascii="仿宋_GB2312" w:hAnsi="仿宋_GB2312" w:eastAsia="仿宋_GB2312" w:cs="仿宋_GB2312"/>
          <w:kern w:val="2"/>
          <w:sz w:val="32"/>
          <w:szCs w:val="32"/>
        </w:rPr>
        <w:t>0.05mg/kg。</w:t>
      </w:r>
      <w:r>
        <w:rPr>
          <w:rFonts w:hint="eastAsia" w:ascii="仿宋_GB2312" w:hAnsi="仿宋_GB2312" w:eastAsia="仿宋_GB2312" w:cs="仿宋_GB2312"/>
          <w:kern w:val="2"/>
          <w:sz w:val="32"/>
          <w:szCs w:val="32"/>
        </w:rPr>
        <w:t>水胺硫磷</w:t>
      </w:r>
      <w:r>
        <w:rPr>
          <w:rFonts w:ascii="仿宋_GB2312" w:hAnsi="仿宋_GB2312" w:eastAsia="仿宋_GB2312" w:cs="仿宋_GB2312"/>
          <w:kern w:val="2"/>
          <w:sz w:val="32"/>
          <w:szCs w:val="32"/>
        </w:rPr>
        <w:t>超标的原因</w:t>
      </w:r>
      <w:r>
        <w:rPr>
          <w:rFonts w:hint="eastAsia" w:ascii="仿宋_GB2312" w:hAnsi="仿宋_GB2312" w:eastAsia="仿宋_GB2312" w:cs="仿宋_GB2312"/>
          <w:kern w:val="2"/>
          <w:sz w:val="32"/>
          <w:szCs w:val="32"/>
        </w:rPr>
        <w:t>，可能是种植过程中为了</w:t>
      </w:r>
      <w:r>
        <w:rPr>
          <w:rFonts w:ascii="仿宋_GB2312" w:hAnsi="仿宋_GB2312" w:eastAsia="仿宋_GB2312" w:cs="仿宋_GB2312"/>
          <w:kern w:val="2"/>
          <w:sz w:val="32"/>
          <w:szCs w:val="32"/>
        </w:rPr>
        <w:t>快速控制病情加大用药量</w:t>
      </w:r>
      <w:r>
        <w:rPr>
          <w:rFonts w:hint="eastAsia" w:ascii="仿宋_GB2312" w:hAnsi="仿宋_GB2312" w:eastAsia="仿宋_GB2312" w:cs="仿宋_GB2312"/>
          <w:kern w:val="2"/>
          <w:sz w:val="32"/>
          <w:szCs w:val="32"/>
        </w:rPr>
        <w:t>或</w:t>
      </w:r>
      <w:r>
        <w:rPr>
          <w:rFonts w:ascii="仿宋_GB2312" w:hAnsi="仿宋_GB2312" w:eastAsia="仿宋_GB2312" w:cs="仿宋_GB2312"/>
          <w:kern w:val="2"/>
          <w:sz w:val="32"/>
          <w:szCs w:val="32"/>
        </w:rPr>
        <w:t>未遵守采摘间隔期</w:t>
      </w:r>
      <w:r>
        <w:rPr>
          <w:rFonts w:hint="eastAsia" w:ascii="仿宋_GB2312" w:hAnsi="仿宋_GB2312" w:eastAsia="仿宋_GB2312" w:cs="仿宋_GB2312"/>
          <w:kern w:val="2"/>
          <w:sz w:val="32"/>
          <w:szCs w:val="32"/>
        </w:rPr>
        <w:t>规定</w:t>
      </w:r>
      <w:r>
        <w:rPr>
          <w:rFonts w:ascii="仿宋_GB2312" w:hAnsi="仿宋_GB2312" w:eastAsia="仿宋_GB2312" w:cs="仿宋_GB2312"/>
          <w:kern w:val="2"/>
          <w:sz w:val="32"/>
          <w:szCs w:val="32"/>
        </w:rPr>
        <w:t>，致使上市销售时</w:t>
      </w:r>
      <w:r>
        <w:rPr>
          <w:rFonts w:hint="eastAsia" w:ascii="仿宋_GB2312" w:hAnsi="仿宋_GB2312" w:eastAsia="仿宋_GB2312" w:cs="仿宋_GB2312"/>
          <w:kern w:val="2"/>
          <w:sz w:val="32"/>
          <w:szCs w:val="32"/>
        </w:rPr>
        <w:t>产品中的药物残留量</w:t>
      </w:r>
      <w:r>
        <w:rPr>
          <w:rFonts w:ascii="仿宋_GB2312" w:hAnsi="仿宋_GB2312" w:eastAsia="仿宋_GB2312" w:cs="仿宋_GB2312"/>
          <w:kern w:val="2"/>
          <w:sz w:val="32"/>
          <w:szCs w:val="32"/>
        </w:rPr>
        <w:t>未降解至标准限量</w:t>
      </w:r>
      <w:r>
        <w:rPr>
          <w:rFonts w:hint="eastAsia" w:ascii="仿宋_GB2312" w:hAnsi="仿宋_GB2312" w:eastAsia="仿宋_GB2312" w:cs="仿宋_GB2312"/>
          <w:kern w:val="2"/>
          <w:sz w:val="32"/>
          <w:szCs w:val="32"/>
        </w:rPr>
        <w:t>值以</w:t>
      </w:r>
      <w:r>
        <w:rPr>
          <w:rFonts w:ascii="仿宋_GB2312" w:hAnsi="仿宋_GB2312" w:eastAsia="仿宋_GB2312" w:cs="仿宋_GB2312"/>
          <w:kern w:val="2"/>
          <w:sz w:val="32"/>
          <w:szCs w:val="32"/>
        </w:rPr>
        <w:t>下。</w:t>
      </w:r>
    </w:p>
    <w:p>
      <w:pPr>
        <w:widowControl/>
        <w:snapToGrid w:val="0"/>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hint="eastAsia" w:ascii="仿宋_GB2312" w:hAnsi="仿宋_GB2312" w:eastAsia="仿宋_GB2312" w:cs="仿宋_GB2312"/>
          <w:sz w:val="32"/>
          <w:szCs w:val="32"/>
          <w:lang w:val="zh-CN"/>
        </w:rPr>
        <w:t>氧乐果</w:t>
      </w:r>
    </w:p>
    <w:p>
      <w:pPr>
        <w:widowControl w:val="0"/>
        <w:wordWrap/>
        <w:adjustRightInd/>
        <w:snapToGrid/>
        <w:spacing w:line="240" w:lineRule="auto"/>
        <w:ind w:left="0" w:leftChars="0" w:right="0" w:firstLine="640" w:firstLineChars="200"/>
        <w:jc w:val="both"/>
        <w:textAlignment w:val="auto"/>
        <w:outlineLvl w:val="9"/>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氧乐果是一种广谱高效的内吸性有机磷农药。《食品安全国家标准 食品中农药最大残留限量》（GB 2763-2019）中规定，氧乐果在豆类蔬菜中的最大残留限量值为0.02mg/kg。在蔬菜农产品中造成氧乐果超标的主要原因，可能是由于在种植过程中违规添加或过量使用所致。</w:t>
      </w:r>
    </w:p>
    <w:p>
      <w:pPr>
        <w:widowControl w:val="0"/>
        <w:wordWrap/>
        <w:adjustRightInd/>
        <w:snapToGrid/>
        <w:spacing w:line="240" w:lineRule="auto"/>
        <w:ind w:left="0" w:leftChars="0" w:right="0" w:firstLine="640" w:firstLineChars="200"/>
        <w:jc w:val="both"/>
        <w:textAlignment w:val="auto"/>
        <w:outlineLvl w:val="9"/>
        <w:rPr>
          <w:rFonts w:ascii="仿宋_GB2312" w:hAnsi="仿宋_GB2312" w:eastAsia="仿宋_GB2312" w:cs="仿宋_GB2312"/>
          <w:kern w:val="2"/>
          <w:sz w:val="32"/>
          <w:szCs w:val="32"/>
          <w:lang w:val="en-US" w:eastAsia="zh-CN" w:bidi="ar-SA"/>
        </w:rPr>
      </w:pPr>
    </w:p>
    <w:p>
      <w:pPr>
        <w:pStyle w:val="9"/>
        <w:spacing w:line="600" w:lineRule="exact"/>
        <w:ind w:firstLine="640" w:firstLineChars="200"/>
        <w:jc w:val="both"/>
        <w:rPr>
          <w:rFonts w:hAnsi="宋体" w:eastAsia="仿宋_GB2312" w:cs="Times New Roman"/>
          <w:color w:val="auto"/>
          <w:kern w:val="2"/>
          <w:sz w:val="32"/>
          <w:szCs w:val="32"/>
        </w:rPr>
      </w:pPr>
    </w:p>
    <w:p>
      <w:pPr>
        <w:widowControl/>
        <w:snapToGrid w:val="0"/>
        <w:spacing w:line="580" w:lineRule="exact"/>
        <w:ind w:firstLine="640" w:firstLineChars="200"/>
        <w:rPr>
          <w:rFonts w:ascii="仿宋_GB2312" w:hAnsi="仿宋_GB2312" w:eastAsia="仿宋_GB2312" w:cs="仿宋_GB2312"/>
          <w:sz w:val="32"/>
          <w:szCs w:val="32"/>
        </w:rPr>
      </w:pPr>
    </w:p>
    <w:p>
      <w:pPr>
        <w:spacing w:line="594" w:lineRule="exact"/>
        <w:ind w:firstLine="640" w:firstLineChars="200"/>
        <w:rPr>
          <w:rFonts w:ascii="Times New Roman" w:hAnsi="Times New Roman" w:eastAsia="仿宋_GB2312"/>
          <w:sz w:val="32"/>
          <w:szCs w:val="32"/>
        </w:rPr>
      </w:pPr>
    </w:p>
    <w:p>
      <w:pPr>
        <w:pStyle w:val="9"/>
        <w:spacing w:line="600" w:lineRule="exact"/>
        <w:jc w:val="both"/>
        <w:rPr>
          <w:rFonts w:hAnsi="宋体" w:eastAsia="仿宋_GB2312" w:cs="Times New Roman"/>
          <w:color w:val="auto"/>
          <w:kern w:val="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abstractNum w:abstractNumId="1">
    <w:nsid w:val="7E9A4B05"/>
    <w:multiLevelType w:val="singleLevel"/>
    <w:tmpl w:val="7E9A4B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B6EFA"/>
    <w:rsid w:val="00003F22"/>
    <w:rsid w:val="0005360E"/>
    <w:rsid w:val="000952EE"/>
    <w:rsid w:val="000A040D"/>
    <w:rsid w:val="000A1E13"/>
    <w:rsid w:val="000D3876"/>
    <w:rsid w:val="000D43BA"/>
    <w:rsid w:val="000F1E88"/>
    <w:rsid w:val="000F530E"/>
    <w:rsid w:val="001242F4"/>
    <w:rsid w:val="001427ED"/>
    <w:rsid w:val="00165A5D"/>
    <w:rsid w:val="001843CD"/>
    <w:rsid w:val="001A6C8F"/>
    <w:rsid w:val="00224F76"/>
    <w:rsid w:val="00250BCA"/>
    <w:rsid w:val="002565D3"/>
    <w:rsid w:val="00274551"/>
    <w:rsid w:val="00274799"/>
    <w:rsid w:val="00282782"/>
    <w:rsid w:val="002D798D"/>
    <w:rsid w:val="00315EE7"/>
    <w:rsid w:val="003462F3"/>
    <w:rsid w:val="003472BC"/>
    <w:rsid w:val="003825CC"/>
    <w:rsid w:val="0039628A"/>
    <w:rsid w:val="003A2AF4"/>
    <w:rsid w:val="003D4D42"/>
    <w:rsid w:val="00427A43"/>
    <w:rsid w:val="004B4D11"/>
    <w:rsid w:val="004B6EFA"/>
    <w:rsid w:val="004D5DF7"/>
    <w:rsid w:val="004D77C5"/>
    <w:rsid w:val="00501491"/>
    <w:rsid w:val="005507FC"/>
    <w:rsid w:val="005C2207"/>
    <w:rsid w:val="005C2AC8"/>
    <w:rsid w:val="005F3CA8"/>
    <w:rsid w:val="0066498C"/>
    <w:rsid w:val="007101F7"/>
    <w:rsid w:val="00720335"/>
    <w:rsid w:val="007928D3"/>
    <w:rsid w:val="007E5106"/>
    <w:rsid w:val="007F0176"/>
    <w:rsid w:val="00820F31"/>
    <w:rsid w:val="00824259"/>
    <w:rsid w:val="0084310D"/>
    <w:rsid w:val="00857398"/>
    <w:rsid w:val="00873ACB"/>
    <w:rsid w:val="00906AB7"/>
    <w:rsid w:val="00915EA9"/>
    <w:rsid w:val="009257A3"/>
    <w:rsid w:val="00947153"/>
    <w:rsid w:val="00952FAC"/>
    <w:rsid w:val="009A15EF"/>
    <w:rsid w:val="009F562E"/>
    <w:rsid w:val="00A050A6"/>
    <w:rsid w:val="00A2656C"/>
    <w:rsid w:val="00A435A3"/>
    <w:rsid w:val="00A64243"/>
    <w:rsid w:val="00A87C4C"/>
    <w:rsid w:val="00AB0C7C"/>
    <w:rsid w:val="00AB7869"/>
    <w:rsid w:val="00AD7236"/>
    <w:rsid w:val="00B106F3"/>
    <w:rsid w:val="00B15243"/>
    <w:rsid w:val="00B67A85"/>
    <w:rsid w:val="00BE6DA6"/>
    <w:rsid w:val="00BF6136"/>
    <w:rsid w:val="00CB722F"/>
    <w:rsid w:val="00CE2906"/>
    <w:rsid w:val="00D45F51"/>
    <w:rsid w:val="00D553FF"/>
    <w:rsid w:val="00D57D1B"/>
    <w:rsid w:val="00DC0424"/>
    <w:rsid w:val="00E11989"/>
    <w:rsid w:val="00E41399"/>
    <w:rsid w:val="00E45720"/>
    <w:rsid w:val="00ED25A6"/>
    <w:rsid w:val="00ED60C0"/>
    <w:rsid w:val="00EE48F9"/>
    <w:rsid w:val="00F32B4D"/>
    <w:rsid w:val="00F421C8"/>
    <w:rsid w:val="00F938EB"/>
    <w:rsid w:val="00FC220D"/>
    <w:rsid w:val="00FD29D5"/>
    <w:rsid w:val="00FF3C5F"/>
    <w:rsid w:val="015F6A0D"/>
    <w:rsid w:val="02276CB5"/>
    <w:rsid w:val="027E0AA0"/>
    <w:rsid w:val="029A4196"/>
    <w:rsid w:val="039A3F65"/>
    <w:rsid w:val="03B054BA"/>
    <w:rsid w:val="03F06EAD"/>
    <w:rsid w:val="050D6EC3"/>
    <w:rsid w:val="05A27538"/>
    <w:rsid w:val="05DF2D60"/>
    <w:rsid w:val="06892A24"/>
    <w:rsid w:val="0698133D"/>
    <w:rsid w:val="078602F3"/>
    <w:rsid w:val="085D32F5"/>
    <w:rsid w:val="090604A3"/>
    <w:rsid w:val="09ED44A1"/>
    <w:rsid w:val="0A5020B4"/>
    <w:rsid w:val="0B2A7732"/>
    <w:rsid w:val="0BFE7616"/>
    <w:rsid w:val="0C1667AC"/>
    <w:rsid w:val="0CBC21EF"/>
    <w:rsid w:val="0CEF6768"/>
    <w:rsid w:val="0D2B2324"/>
    <w:rsid w:val="0D424A0D"/>
    <w:rsid w:val="0D723E55"/>
    <w:rsid w:val="0D7C5D8C"/>
    <w:rsid w:val="0E711833"/>
    <w:rsid w:val="0E895DB4"/>
    <w:rsid w:val="0FBF5C69"/>
    <w:rsid w:val="104261E4"/>
    <w:rsid w:val="104B7313"/>
    <w:rsid w:val="10E51E7E"/>
    <w:rsid w:val="122422B8"/>
    <w:rsid w:val="12E635FD"/>
    <w:rsid w:val="139C76A1"/>
    <w:rsid w:val="139D2FF5"/>
    <w:rsid w:val="13F4438B"/>
    <w:rsid w:val="145F0D0D"/>
    <w:rsid w:val="14620EB5"/>
    <w:rsid w:val="14F43FA9"/>
    <w:rsid w:val="154D34E4"/>
    <w:rsid w:val="156B7E6D"/>
    <w:rsid w:val="15886BAB"/>
    <w:rsid w:val="15C74A14"/>
    <w:rsid w:val="16627B1C"/>
    <w:rsid w:val="17177BD8"/>
    <w:rsid w:val="17366483"/>
    <w:rsid w:val="175A59F9"/>
    <w:rsid w:val="17EB2278"/>
    <w:rsid w:val="17EF416E"/>
    <w:rsid w:val="18451B3F"/>
    <w:rsid w:val="18A23923"/>
    <w:rsid w:val="18AC77E2"/>
    <w:rsid w:val="18B91CC4"/>
    <w:rsid w:val="195B4923"/>
    <w:rsid w:val="19FE57A3"/>
    <w:rsid w:val="1A1165B5"/>
    <w:rsid w:val="1A68171A"/>
    <w:rsid w:val="1A9E3EB9"/>
    <w:rsid w:val="1AA42BC9"/>
    <w:rsid w:val="1AAC6770"/>
    <w:rsid w:val="1BD05B95"/>
    <w:rsid w:val="1C442654"/>
    <w:rsid w:val="1D55265B"/>
    <w:rsid w:val="1DD27A1F"/>
    <w:rsid w:val="1DF10696"/>
    <w:rsid w:val="1E631366"/>
    <w:rsid w:val="1EFF100B"/>
    <w:rsid w:val="1F691190"/>
    <w:rsid w:val="20BB2827"/>
    <w:rsid w:val="214D5AEF"/>
    <w:rsid w:val="21CC1456"/>
    <w:rsid w:val="22550787"/>
    <w:rsid w:val="25137D68"/>
    <w:rsid w:val="263C6EBE"/>
    <w:rsid w:val="272400D3"/>
    <w:rsid w:val="27821367"/>
    <w:rsid w:val="284A5BF2"/>
    <w:rsid w:val="29071C1E"/>
    <w:rsid w:val="291F49F4"/>
    <w:rsid w:val="29DF02C5"/>
    <w:rsid w:val="29E30E34"/>
    <w:rsid w:val="2A277FBA"/>
    <w:rsid w:val="2A67314B"/>
    <w:rsid w:val="2ABB2918"/>
    <w:rsid w:val="2B461F65"/>
    <w:rsid w:val="2B785F08"/>
    <w:rsid w:val="2BE14DAB"/>
    <w:rsid w:val="2C516F87"/>
    <w:rsid w:val="2C5C337D"/>
    <w:rsid w:val="2C753719"/>
    <w:rsid w:val="2CC22D43"/>
    <w:rsid w:val="2D231FEB"/>
    <w:rsid w:val="2D66027E"/>
    <w:rsid w:val="2E0128F7"/>
    <w:rsid w:val="2EC53185"/>
    <w:rsid w:val="2EF463FD"/>
    <w:rsid w:val="2FC41757"/>
    <w:rsid w:val="2FD10C3E"/>
    <w:rsid w:val="2FE17885"/>
    <w:rsid w:val="305B4673"/>
    <w:rsid w:val="3078109A"/>
    <w:rsid w:val="30C97A6E"/>
    <w:rsid w:val="30CE09BD"/>
    <w:rsid w:val="31C6061F"/>
    <w:rsid w:val="325564AA"/>
    <w:rsid w:val="32DD00BD"/>
    <w:rsid w:val="33701E97"/>
    <w:rsid w:val="337317F3"/>
    <w:rsid w:val="34114553"/>
    <w:rsid w:val="34707EFD"/>
    <w:rsid w:val="35211CF5"/>
    <w:rsid w:val="356F13E2"/>
    <w:rsid w:val="357C7D50"/>
    <w:rsid w:val="35F90A0A"/>
    <w:rsid w:val="368C087B"/>
    <w:rsid w:val="368D516D"/>
    <w:rsid w:val="369A3443"/>
    <w:rsid w:val="379573AA"/>
    <w:rsid w:val="37CA6715"/>
    <w:rsid w:val="37D25604"/>
    <w:rsid w:val="382D77A1"/>
    <w:rsid w:val="386B654E"/>
    <w:rsid w:val="391352A9"/>
    <w:rsid w:val="3ADD2861"/>
    <w:rsid w:val="3AFA4815"/>
    <w:rsid w:val="3B6C5C7D"/>
    <w:rsid w:val="3BF6690E"/>
    <w:rsid w:val="3D297853"/>
    <w:rsid w:val="3DF158C3"/>
    <w:rsid w:val="3F184613"/>
    <w:rsid w:val="3FA13C02"/>
    <w:rsid w:val="40B04F93"/>
    <w:rsid w:val="415428C2"/>
    <w:rsid w:val="41560277"/>
    <w:rsid w:val="423B28CA"/>
    <w:rsid w:val="427F302D"/>
    <w:rsid w:val="428D21EB"/>
    <w:rsid w:val="43486B9D"/>
    <w:rsid w:val="436A660C"/>
    <w:rsid w:val="4452544F"/>
    <w:rsid w:val="45D17096"/>
    <w:rsid w:val="46620974"/>
    <w:rsid w:val="46B032DF"/>
    <w:rsid w:val="46CD6716"/>
    <w:rsid w:val="472A28F1"/>
    <w:rsid w:val="47552A4E"/>
    <w:rsid w:val="48BC57F4"/>
    <w:rsid w:val="48BE27DA"/>
    <w:rsid w:val="495058B7"/>
    <w:rsid w:val="49A67CE8"/>
    <w:rsid w:val="49F56B37"/>
    <w:rsid w:val="4B911789"/>
    <w:rsid w:val="4BB542A0"/>
    <w:rsid w:val="4C4B465F"/>
    <w:rsid w:val="4C5C131D"/>
    <w:rsid w:val="4C897EB1"/>
    <w:rsid w:val="4CC14FB3"/>
    <w:rsid w:val="4D273C7E"/>
    <w:rsid w:val="4D94490D"/>
    <w:rsid w:val="4DAD2FA1"/>
    <w:rsid w:val="4DDB6E2C"/>
    <w:rsid w:val="4E9C06D0"/>
    <w:rsid w:val="4FBE2F60"/>
    <w:rsid w:val="50782361"/>
    <w:rsid w:val="513D6715"/>
    <w:rsid w:val="518C59E9"/>
    <w:rsid w:val="519D048C"/>
    <w:rsid w:val="51C0523D"/>
    <w:rsid w:val="520E4E41"/>
    <w:rsid w:val="52125892"/>
    <w:rsid w:val="52837786"/>
    <w:rsid w:val="530B16CF"/>
    <w:rsid w:val="533E65B0"/>
    <w:rsid w:val="54984E9F"/>
    <w:rsid w:val="55F57D1E"/>
    <w:rsid w:val="57D33406"/>
    <w:rsid w:val="58460A43"/>
    <w:rsid w:val="58885A72"/>
    <w:rsid w:val="58D27289"/>
    <w:rsid w:val="58EF2A7D"/>
    <w:rsid w:val="59CC7C23"/>
    <w:rsid w:val="5A407571"/>
    <w:rsid w:val="5A50498B"/>
    <w:rsid w:val="5AC41685"/>
    <w:rsid w:val="5B027879"/>
    <w:rsid w:val="5B161417"/>
    <w:rsid w:val="5C3241A0"/>
    <w:rsid w:val="5C77642F"/>
    <w:rsid w:val="5CE8125B"/>
    <w:rsid w:val="5CED668D"/>
    <w:rsid w:val="5E751D15"/>
    <w:rsid w:val="5F1D6839"/>
    <w:rsid w:val="60393872"/>
    <w:rsid w:val="60AC304D"/>
    <w:rsid w:val="60C00CB3"/>
    <w:rsid w:val="60CF2535"/>
    <w:rsid w:val="6209786B"/>
    <w:rsid w:val="627A7585"/>
    <w:rsid w:val="65807ED9"/>
    <w:rsid w:val="669A2051"/>
    <w:rsid w:val="66AA7D40"/>
    <w:rsid w:val="679722D4"/>
    <w:rsid w:val="67B767D2"/>
    <w:rsid w:val="684011A0"/>
    <w:rsid w:val="68681953"/>
    <w:rsid w:val="68932D56"/>
    <w:rsid w:val="68B26099"/>
    <w:rsid w:val="68C51D87"/>
    <w:rsid w:val="697C6D68"/>
    <w:rsid w:val="6AAD07EB"/>
    <w:rsid w:val="6B150245"/>
    <w:rsid w:val="6B4C4B7D"/>
    <w:rsid w:val="6B5F69B6"/>
    <w:rsid w:val="6B7762FF"/>
    <w:rsid w:val="6BC11A09"/>
    <w:rsid w:val="6C5B2665"/>
    <w:rsid w:val="6D2C606A"/>
    <w:rsid w:val="6EB7126E"/>
    <w:rsid w:val="6EF24136"/>
    <w:rsid w:val="6EF66C78"/>
    <w:rsid w:val="6F53059E"/>
    <w:rsid w:val="6FE0461D"/>
    <w:rsid w:val="6FF2151A"/>
    <w:rsid w:val="7062028E"/>
    <w:rsid w:val="706D666D"/>
    <w:rsid w:val="71697025"/>
    <w:rsid w:val="718250FF"/>
    <w:rsid w:val="71894BD7"/>
    <w:rsid w:val="726258D5"/>
    <w:rsid w:val="727F4E4C"/>
    <w:rsid w:val="73B232F5"/>
    <w:rsid w:val="74994EC2"/>
    <w:rsid w:val="74EF7DD6"/>
    <w:rsid w:val="757B108B"/>
    <w:rsid w:val="757B7956"/>
    <w:rsid w:val="774C36AE"/>
    <w:rsid w:val="77B41AFA"/>
    <w:rsid w:val="77DD7782"/>
    <w:rsid w:val="781A40C6"/>
    <w:rsid w:val="78CC697F"/>
    <w:rsid w:val="78EB68E7"/>
    <w:rsid w:val="790F5053"/>
    <w:rsid w:val="794F6A88"/>
    <w:rsid w:val="79871452"/>
    <w:rsid w:val="7A957581"/>
    <w:rsid w:val="7AC91127"/>
    <w:rsid w:val="7B6A0503"/>
    <w:rsid w:val="7B802328"/>
    <w:rsid w:val="7BCD75A4"/>
    <w:rsid w:val="7BFE7EA2"/>
    <w:rsid w:val="7D212BFB"/>
    <w:rsid w:val="7DED016D"/>
    <w:rsid w:val="7E3539E2"/>
    <w:rsid w:val="7E7E3E5D"/>
    <w:rsid w:val="7F023EEF"/>
    <w:rsid w:val="7F1A7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_Style 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列出段落1"/>
    <w:basedOn w:val="1"/>
    <w:qFormat/>
    <w:uiPriority w:val="34"/>
    <w:pPr>
      <w:ind w:firstLine="420" w:firstLineChars="200"/>
    </w:pPr>
  </w:style>
  <w:style w:type="paragraph" w:customStyle="1" w:styleId="11">
    <w:name w:val="List Paragraph"/>
    <w:basedOn w:val="1"/>
    <w:qFormat/>
    <w:uiPriority w:val="34"/>
    <w:pPr>
      <w:ind w:firstLine="420" w:firstLineChars="200"/>
    </w:pPr>
    <w:rPr>
      <w:rFonts w:ascii="Calibri" w:hAnsi="Calibri" w:eastAsia="宋体"/>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8</Pages>
  <Words>596</Words>
  <Characters>3403</Characters>
  <Lines>28</Lines>
  <Paragraphs>7</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2022-03-25T01:32:36Z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