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关于部分检验依据、项目的说明</w:t>
      </w:r>
    </w:p>
    <w:p>
      <w:pPr>
        <w:spacing w:line="60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</w:p>
    <w:p>
      <w:pPr>
        <w:pStyle w:val="9"/>
        <w:numPr>
          <w:ilvl w:val="0"/>
          <w:numId w:val="1"/>
        </w:numPr>
        <w:spacing w:line="600" w:lineRule="exact"/>
        <w:ind w:left="958" w:leftChars="304" w:hanging="320" w:hangingChars="100"/>
        <w:jc w:val="both"/>
        <w:rPr>
          <w:rFonts w:hAnsi="宋体" w:eastAsia="仿宋_GB2312" w:cs="Times New Roman"/>
          <w:color w:val="auto"/>
          <w:kern w:val="2"/>
          <w:sz w:val="32"/>
          <w:szCs w:val="32"/>
        </w:rPr>
      </w:pPr>
      <w:r>
        <w:rPr>
          <w:rFonts w:hint="eastAsia" w:hAnsi="宋体" w:eastAsia="仿宋_GB2312" w:cs="Times New Roman"/>
          <w:color w:val="auto"/>
          <w:kern w:val="2"/>
          <w:sz w:val="32"/>
          <w:szCs w:val="32"/>
        </w:rPr>
        <w:t>抽检依据</w:t>
      </w:r>
    </w:p>
    <w:p>
      <w:pPr>
        <w:pStyle w:val="9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食用农产品</w:t>
      </w:r>
    </w:p>
    <w:p>
      <w:pPr>
        <w:pStyle w:val="9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《食品安全国家标准 食品中兽药最大残留限量》(GB 31650-2019)、《食品动物中禁止使用的药品及其他化合物清单》(农业农村部公告第250号)、《食品安全国家标准 食品中污染物限量》(GB 2762-2017)、《食品安全国家标准 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品中农药最大残留限量》(GB 2763-2019)、《食品中可能违法添加的非食用物质和易滥用的食品添加剂名单（第四批）》(整顿办函〔2010〕50号 )、《兽药地方标准废止目录》(农业部公告第560号)等标准及产品明示标准和指标的要求。</w:t>
      </w:r>
    </w:p>
    <w:p>
      <w:pPr>
        <w:pStyle w:val="9"/>
        <w:numPr>
          <w:ilvl w:val="0"/>
          <w:numId w:val="2"/>
        </w:numPr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调味品</w:t>
      </w:r>
    </w:p>
    <w:p>
      <w:pPr>
        <w:pStyle w:val="9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《食品安全国家标准 食品添加剂使用标准》（GB 2760-2014）等标准及产品明示标准和指标的要求。</w:t>
      </w:r>
    </w:p>
    <w:p>
      <w:pPr>
        <w:pStyle w:val="9"/>
        <w:spacing w:line="6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</w:pPr>
    </w:p>
    <w:p>
      <w:pPr>
        <w:pStyle w:val="9"/>
        <w:numPr>
          <w:ilvl w:val="0"/>
          <w:numId w:val="1"/>
        </w:numPr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检验项目的说明</w:t>
      </w:r>
    </w:p>
    <w:p>
      <w:pPr>
        <w:pStyle w:val="9"/>
        <w:numPr>
          <w:ilvl w:val="0"/>
          <w:numId w:val="3"/>
        </w:numPr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>4-氯苯氧乙酸钠(以4-氯苯氧乙酸计)</w:t>
      </w:r>
    </w:p>
    <w:p>
      <w:pPr>
        <w:widowControl/>
        <w:wordWrap/>
        <w:snapToGrid w:val="0"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zh-CN" w:eastAsia="zh-CN" w:bidi="ar-SA"/>
        </w:rPr>
        <w:t xml:space="preserve"> 4-氯苯氧乙酸钠（以4-氯苯氧乙酸计）又称防落素、保果灵，是一种植物生长调节剂。主要用于防止落花落果、抑制豆类生根等。《国家食品药品监督管理总局 农业部 国家卫生和计划生育委员会关于豆芽生产过程中禁止使用6-苄基腺嘌呤等物质的公告（2015年 第11号）》中规定，生产者不得在豆芽生产过程中使用6-苄基腺嘌呤、4-氯苯氧乙酸钠、赤霉素等物质，豆芽经营者不得经营含有6-苄基腺嘌呤、4-氯苯氧乙酸钠、赤霉素等物质的豆芽。豆芽中检出4-氯苯氧乙酸钠，可能是由于生产者在豆芽生产过程中为了抑制豆芽生根，提高豆芽产量，从而违规使用相关农药。</w:t>
      </w:r>
    </w:p>
    <w:p>
      <w:pPr>
        <w:widowControl/>
        <w:numPr>
          <w:ilvl w:val="0"/>
          <w:numId w:val="4"/>
        </w:numPr>
        <w:shd w:val="clear" w:color="auto" w:fill="auto"/>
        <w:wordWrap/>
        <w:snapToGrid w:val="0"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啶虫脒</w:t>
      </w:r>
    </w:p>
    <w:p>
      <w:pPr>
        <w:widowControl/>
        <w:shd w:val="clear" w:color="auto" w:fill="auto"/>
        <w:wordWrap/>
        <w:snapToGrid w:val="0"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 w:bidi="ar-SA"/>
        </w:rPr>
        <w:t>啶虫脒，内吸性杀虫剂。《食品安全国家标准 食品中农药最大残留限量》（GB 2763—2019）中规定，啶虫脒在菜薹中的最大残留限量为3mg/kg。啶虫脒超标的原因，可能是菜农对使用农药的安全间隔期不了解违规使用或滥用农药。</w:t>
      </w:r>
    </w:p>
    <w:p>
      <w:pPr>
        <w:widowControl/>
        <w:numPr>
          <w:ilvl w:val="0"/>
          <w:numId w:val="4"/>
        </w:numPr>
        <w:shd w:val="clear" w:color="auto" w:fill="auto"/>
        <w:wordWrap/>
        <w:snapToGrid w:val="0"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</w:pPr>
      <w:r>
        <w:rPr>
          <w:rFonts w:hint="eastAsia" w:hAnsi="宋体" w:eastAsia="仿宋_GB2312"/>
          <w:b w:val="0"/>
          <w:bCs w:val="0"/>
          <w:color w:val="auto"/>
          <w:sz w:val="32"/>
          <w:szCs w:val="32"/>
          <w:highlight w:val="none"/>
        </w:rPr>
        <w:t>恩诺沙星(以恩诺沙星与环丙沙星之和计)</w:t>
      </w:r>
    </w:p>
    <w:p>
      <w:pPr>
        <w:pStyle w:val="9"/>
        <w:shd w:val="clear" w:color="auto" w:fill="auto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/>
        </w:rPr>
        <w:t>恩诺沙星，又名恩氟奎林羧酸，属于氟喹诺酮类药物，化学合成广谱抑菌剂，在预防和治疗畜禽的细菌性感染及支原体病方面有良好效果。《食品安全国家标准 食品中兽药最大残留限量》(GB 31650-2019)规定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恩诺沙星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(以恩诺沙星与环丙沙星之和计)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家禽产蛋期禁用，而在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其他动物的肌肉、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/>
        </w:rPr>
        <w:t>鱼的皮和肉中的最大残留限量为100μg/kg。恩诺沙星超标的原因可能是养殖户在养殖过程中为快速控制疫病，违规加大用药量；也可能是养殖户不遵守休药期规定，致使产品上市销售时残留超标。</w:t>
      </w:r>
    </w:p>
    <w:p>
      <w:pPr>
        <w:pStyle w:val="9"/>
        <w:shd w:val="clear" w:color="auto" w:fill="auto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/>
        </w:rPr>
      </w:pPr>
    </w:p>
    <w:p>
      <w:pPr>
        <w:pStyle w:val="9"/>
        <w:numPr>
          <w:ilvl w:val="0"/>
          <w:numId w:val="4"/>
        </w:numPr>
        <w:shd w:val="clear" w:color="auto" w:fill="auto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/>
        </w:rPr>
        <w:t>呋喃唑酮代谢物</w:t>
      </w:r>
    </w:p>
    <w:p>
      <w:pPr>
        <w:pStyle w:val="9"/>
        <w:shd w:val="clear" w:color="auto" w:fill="auto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呋喃唑酮是硝基呋喃类广谱抗生素，曾广泛应用于畜禽及水产养殖业。硝基呋喃类原型药在生物体内代谢迅速，其代谢物因与蛋白质结合而相当稳定，故常利用对其代谢物的检测来反映硝基呋喃类药物的残留状况。《食品动物中禁止使用的药品及其他化合物清单》（农业农村部公告第250号）中规定，呋喃唑酮为禁止使用的药物，在动物性食品中不得检出。水产品中检出呋喃唑酮代谢物的原因，可能是养殖户在养殖过程中违规使用相关兽药。</w:t>
      </w:r>
    </w:p>
    <w:p>
      <w:pPr>
        <w:pStyle w:val="9"/>
        <w:numPr>
          <w:ilvl w:val="0"/>
          <w:numId w:val="4"/>
        </w:numPr>
        <w:shd w:val="clear" w:color="auto" w:fill="auto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/>
        </w:rPr>
      </w:pPr>
      <w:r>
        <w:rPr>
          <w:rFonts w:hint="eastAsia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镉(以Cd计)</w:t>
      </w:r>
    </w:p>
    <w:p>
      <w:pPr>
        <w:widowControl/>
        <w:shd w:val="clear" w:color="auto" w:fill="auto"/>
        <w:wordWrap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镉属于重金属污染物，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镉在植物性食品、水产品和动物性食品的内脏更易富集。食用农产品中检出镉含量超标的主要原因是由于自然环境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受到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重金属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污染而释放入环境的土壤、水中，经过长期的积累和富集，导致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所在区域的水产品或种植的蔬菜中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镉含量超过相关的食品安全国家标准的规定。</w:t>
      </w:r>
    </w:p>
    <w:p>
      <w:pPr>
        <w:pStyle w:val="9"/>
        <w:numPr>
          <w:ilvl w:val="0"/>
          <w:numId w:val="4"/>
        </w:numPr>
        <w:shd w:val="clear" w:color="auto" w:fill="auto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/>
        </w:rPr>
      </w:pPr>
      <w:r>
        <w:rPr>
          <w:rFonts w:hint="eastAsia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磺胺类(总量)</w:t>
      </w:r>
      <w:r>
        <w:rPr>
          <w:rFonts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 xml:space="preserve"> </w:t>
      </w:r>
    </w:p>
    <w:p>
      <w:pPr>
        <w:pStyle w:val="9"/>
        <w:shd w:val="clear" w:color="auto" w:fill="auto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ˎ̥" w:eastAsia="仿宋_GB2312" w:cs="Arial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</w:rPr>
        <w:t>磺胺类药物是合成的广谱抑菌药，对大多数革兰氏阳性和许多革兰氏阴性细菌有效，对于治疗禽类球虫病和鸡白细胞虫病疗效较好。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/>
        </w:rPr>
        <w:t>《食品安全国家标准 食品中兽药最大残留限量》(GB 31650-2019)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</w:rPr>
        <w:t>规定了“该类药物在动物肌肉中的最大残留限量为≤100μg/kg”。</w:t>
      </w:r>
      <w:r>
        <w:rPr>
          <w:rFonts w:ascii="仿宋_GB2312" w:hAnsi="ˎ̥" w:eastAsia="仿宋_GB2312" w:cs="Arial"/>
          <w:b w:val="0"/>
          <w:bCs w:val="0"/>
          <w:color w:val="auto"/>
          <w:sz w:val="32"/>
          <w:szCs w:val="32"/>
          <w:highlight w:val="none"/>
        </w:rPr>
        <w:t>养殖环节未严格控制休药期或超量使用可能导致残留超标。</w:t>
      </w:r>
    </w:p>
    <w:p>
      <w:pPr>
        <w:pStyle w:val="9"/>
        <w:shd w:val="clear" w:color="auto" w:fill="auto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ˎ̥" w:eastAsia="仿宋_GB2312" w:cs="Arial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（七）克百威</w:t>
      </w:r>
    </w:p>
    <w:p>
      <w:pPr>
        <w:pStyle w:val="9"/>
        <w:shd w:val="clear" w:color="auto" w:fill="auto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/>
        </w:rPr>
        <w:t>克百威，又名呋喃丹，是一种广谱性杀虫、杀螨、杀线虫剂。农业部第 199 号公告明确规定克百威不得用于蔬菜、果树、茶叶、中草药材上。《食品安全国家标准 食品中农药最大残留限量》（GB 2763-2019）规定，克百威在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豆类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zh-CN"/>
        </w:rPr>
        <w:t>蔬菜中的最大残留限量为0.02mg/kg。</w:t>
      </w:r>
    </w:p>
    <w:p>
      <w:pPr>
        <w:pStyle w:val="9"/>
        <w:numPr>
          <w:ilvl w:val="0"/>
          <w:numId w:val="5"/>
        </w:numPr>
        <w:shd w:val="clear" w:color="auto" w:fill="auto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氯霉素</w:t>
      </w:r>
    </w:p>
    <w:p>
      <w:pPr>
        <w:widowControl/>
        <w:shd w:val="clear" w:color="auto" w:fill="auto"/>
        <w:wordWrap/>
        <w:snapToGrid w:val="0"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 xml:space="preserve">氯霉素是一种广谱抗生素，农业农村部公告第250号《食品动物中禁止使用的药品及其他化合物清单》中明确规定了氯霉素禁止用于所有食品动物。不合格原因主要是养殖过程或者是运输过程中违规使用。  </w:t>
      </w:r>
    </w:p>
    <w:p>
      <w:pPr>
        <w:widowControl/>
        <w:shd w:val="clear" w:color="auto" w:fill="auto"/>
        <w:wordWrap/>
        <w:snapToGrid w:val="0"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（九）</w:t>
      </w:r>
      <w:r>
        <w:rPr>
          <w:rFonts w:hint="eastAsia" w:hAnsi="宋体" w:eastAsia="仿宋_GB2312"/>
          <w:b w:val="0"/>
          <w:bCs w:val="0"/>
          <w:color w:val="auto"/>
          <w:sz w:val="32"/>
          <w:szCs w:val="32"/>
          <w:highlight w:val="none"/>
        </w:rPr>
        <w:t>灭蝇胺</w:t>
      </w:r>
    </w:p>
    <w:p>
      <w:pPr>
        <w:widowControl/>
        <w:shd w:val="clear" w:color="auto" w:fill="auto"/>
        <w:wordWrap/>
        <w:snapToGrid w:val="0"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灭蝇胺是一种昆虫生长调节剂类低毒杀虫剂，有非常强的选择性，主要对双翅目昆虫有活性。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灭蝇胺适用于多种瓜果蔬菜，主要对"蝇类"害虫具有良好的杀虫作用。目前瓜果蔬菜生产中主要用于防治:各种瓜果类、茄果类、豆类及多种叶菜类蔬菜的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美洲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斑潜蝇、南美斑潜蝇、豆杆黑潜蝇、葱斑潜叶蝇、三叶斑潜蝇等多种潜叶蝇，韭菜及葱、蒜的根蛆(韭菜赤眼草蚊)等。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《食品安全国家标准 食品中农药最大残留限量》（GB 2763-2019）中规定，灭蝇胺在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豇豆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中的最大残留限量值为0.5mg/kg。在蔬菜农产品中造成灭蝇胺超标的主要原因，可能是由于</w:t>
      </w:r>
      <w:r>
        <w:rPr>
          <w:rFonts w:eastAsia="仿宋_GB2312"/>
          <w:b w:val="0"/>
          <w:bCs w:val="0"/>
          <w:color w:val="auto"/>
          <w:sz w:val="32"/>
          <w:szCs w:val="32"/>
          <w:highlight w:val="none"/>
        </w:rPr>
        <w:t>菜农</w:t>
      </w:r>
      <w:r>
        <w:rPr>
          <w:rFonts w:hint="eastAsia" w:eastAsia="仿宋_GB2312"/>
          <w:b w:val="0"/>
          <w:bCs w:val="0"/>
          <w:color w:val="auto"/>
          <w:sz w:val="32"/>
          <w:szCs w:val="32"/>
          <w:highlight w:val="none"/>
        </w:rPr>
        <w:t>对</w:t>
      </w:r>
      <w:r>
        <w:rPr>
          <w:rFonts w:eastAsia="仿宋_GB2312"/>
          <w:b w:val="0"/>
          <w:bCs w:val="0"/>
          <w:color w:val="auto"/>
          <w:sz w:val="32"/>
          <w:szCs w:val="32"/>
          <w:highlight w:val="none"/>
        </w:rPr>
        <w:t>使用农药的安全间隔期不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解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从而</w:t>
      </w:r>
      <w:r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违规使用或滥用农药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widowControl/>
        <w:shd w:val="clear" w:color="auto" w:fill="auto"/>
        <w:wordWrap/>
        <w:snapToGrid w:val="0"/>
        <w:spacing w:line="59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（十）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铅(以Pb计)</w:t>
      </w:r>
    </w:p>
    <w:p>
      <w:pPr>
        <w:pStyle w:val="9"/>
        <w:shd w:val="clear" w:color="auto" w:fill="auto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铅是一种自然界中广泛存在的重金属元素，具有蓄积性。《食品安全国家标准 食品中污染物限量》（GB 2762-2017）规定新鲜蔬菜（芸薹类蔬菜、豆类蔬菜、叶菜蔬菜、薯类除外）中铅限量值为0.1mg/kg（以Pb计）。本次抽检铅项目不合格原因可能是种植过程中环境污染带入。</w:t>
      </w:r>
    </w:p>
    <w:p>
      <w:pPr>
        <w:pStyle w:val="9"/>
        <w:shd w:val="clear" w:color="auto" w:fill="auto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hAnsi="宋体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（十一）脱氢乙酸及其钠盐（以脱氢乙酸计）</w:t>
      </w:r>
    </w:p>
    <w:p>
      <w:pPr>
        <w:pStyle w:val="9"/>
        <w:shd w:val="clear" w:color="auto" w:fill="auto"/>
        <w:wordWrap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脱氢乙酸及其钠盐作为一种广谱食品防腐剂，可以防止细菌的生长和繁殖，尤其对霉菌的抑制作用很强，但毒性较低，按标准规定的范围和使用量使用是安全可靠的。造成脱氢乙酸及其钠盐（以脱氢乙酸计）超标的原因可能是：企业为增加产品保质期，或者弥补产品生产过程卫生条件不佳而超范围使用。</w:t>
      </w:r>
    </w:p>
    <w:p>
      <w:pPr>
        <w:pStyle w:val="9"/>
        <w:spacing w:line="600" w:lineRule="exact"/>
        <w:jc w:val="both"/>
        <w:rPr>
          <w:rFonts w:hAnsi="宋体" w:eastAsia="仿宋_GB2312" w:cs="Times New Roman"/>
          <w:color w:val="auto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DDE65"/>
    <w:multiLevelType w:val="singleLevel"/>
    <w:tmpl w:val="952DDE6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7A552E"/>
    <w:multiLevelType w:val="singleLevel"/>
    <w:tmpl w:val="177A552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74E6E75"/>
    <w:multiLevelType w:val="multilevel"/>
    <w:tmpl w:val="674E6E75"/>
    <w:lvl w:ilvl="0" w:tentative="0">
      <w:start w:val="2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D5071A9"/>
    <w:multiLevelType w:val="multilevel"/>
    <w:tmpl w:val="6D5071A9"/>
    <w:lvl w:ilvl="0" w:tentative="0">
      <w:start w:val="8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E9A4B05"/>
    <w:multiLevelType w:val="singleLevel"/>
    <w:tmpl w:val="7E9A4B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B6EFA"/>
    <w:rsid w:val="00020B35"/>
    <w:rsid w:val="00045822"/>
    <w:rsid w:val="000510D6"/>
    <w:rsid w:val="0005360E"/>
    <w:rsid w:val="00074AE1"/>
    <w:rsid w:val="000952EE"/>
    <w:rsid w:val="000A040D"/>
    <w:rsid w:val="000B36B8"/>
    <w:rsid w:val="000F530E"/>
    <w:rsid w:val="001242F4"/>
    <w:rsid w:val="001843CD"/>
    <w:rsid w:val="00230F6F"/>
    <w:rsid w:val="00250BCA"/>
    <w:rsid w:val="002565D3"/>
    <w:rsid w:val="00296473"/>
    <w:rsid w:val="003462F3"/>
    <w:rsid w:val="003472BC"/>
    <w:rsid w:val="003825CC"/>
    <w:rsid w:val="003D242B"/>
    <w:rsid w:val="00460661"/>
    <w:rsid w:val="004B4D11"/>
    <w:rsid w:val="004B6EFA"/>
    <w:rsid w:val="004D5DF7"/>
    <w:rsid w:val="004D77C5"/>
    <w:rsid w:val="005507FC"/>
    <w:rsid w:val="005C2AC8"/>
    <w:rsid w:val="00706D69"/>
    <w:rsid w:val="007101F7"/>
    <w:rsid w:val="007928D3"/>
    <w:rsid w:val="00796917"/>
    <w:rsid w:val="007F0176"/>
    <w:rsid w:val="00820F31"/>
    <w:rsid w:val="00824259"/>
    <w:rsid w:val="00872C98"/>
    <w:rsid w:val="00873ACB"/>
    <w:rsid w:val="00906AB7"/>
    <w:rsid w:val="009257A3"/>
    <w:rsid w:val="009427C8"/>
    <w:rsid w:val="00952FAC"/>
    <w:rsid w:val="0097367E"/>
    <w:rsid w:val="009A15EF"/>
    <w:rsid w:val="009A6087"/>
    <w:rsid w:val="00A435A3"/>
    <w:rsid w:val="00A64243"/>
    <w:rsid w:val="00AB7869"/>
    <w:rsid w:val="00AD7236"/>
    <w:rsid w:val="00B01DE3"/>
    <w:rsid w:val="00B15243"/>
    <w:rsid w:val="00B67A85"/>
    <w:rsid w:val="00BF0F88"/>
    <w:rsid w:val="00C32DD8"/>
    <w:rsid w:val="00C66CA5"/>
    <w:rsid w:val="00D0551C"/>
    <w:rsid w:val="00D505D7"/>
    <w:rsid w:val="00D51AED"/>
    <w:rsid w:val="00D57D1B"/>
    <w:rsid w:val="00E45720"/>
    <w:rsid w:val="00ED60C0"/>
    <w:rsid w:val="00F11BB3"/>
    <w:rsid w:val="00F32B4D"/>
    <w:rsid w:val="00F421C8"/>
    <w:rsid w:val="00F847A3"/>
    <w:rsid w:val="00F91BF5"/>
    <w:rsid w:val="00FD29D5"/>
    <w:rsid w:val="02276CB5"/>
    <w:rsid w:val="029A4196"/>
    <w:rsid w:val="02D318C2"/>
    <w:rsid w:val="03065F09"/>
    <w:rsid w:val="032B4FF7"/>
    <w:rsid w:val="039A3F65"/>
    <w:rsid w:val="03B054BA"/>
    <w:rsid w:val="03F06EAD"/>
    <w:rsid w:val="050D6EC3"/>
    <w:rsid w:val="051B3E0F"/>
    <w:rsid w:val="0698133D"/>
    <w:rsid w:val="071A528C"/>
    <w:rsid w:val="078602F3"/>
    <w:rsid w:val="090604A3"/>
    <w:rsid w:val="0A5020B4"/>
    <w:rsid w:val="0B2A7732"/>
    <w:rsid w:val="0BFE7616"/>
    <w:rsid w:val="0C1667AC"/>
    <w:rsid w:val="0CBC21EF"/>
    <w:rsid w:val="0CEF6768"/>
    <w:rsid w:val="0D2B2324"/>
    <w:rsid w:val="0E895DB4"/>
    <w:rsid w:val="0FBF5C69"/>
    <w:rsid w:val="104B7313"/>
    <w:rsid w:val="13150C7C"/>
    <w:rsid w:val="13766859"/>
    <w:rsid w:val="139C76A1"/>
    <w:rsid w:val="145F0D0D"/>
    <w:rsid w:val="14620EB5"/>
    <w:rsid w:val="156B7E6D"/>
    <w:rsid w:val="15886BAB"/>
    <w:rsid w:val="15C74A14"/>
    <w:rsid w:val="16627B1C"/>
    <w:rsid w:val="17177BD8"/>
    <w:rsid w:val="178E1838"/>
    <w:rsid w:val="1795134F"/>
    <w:rsid w:val="17EF416E"/>
    <w:rsid w:val="17F77F9A"/>
    <w:rsid w:val="18451B3F"/>
    <w:rsid w:val="18B91CC4"/>
    <w:rsid w:val="195B4923"/>
    <w:rsid w:val="19FE57A3"/>
    <w:rsid w:val="1A68171A"/>
    <w:rsid w:val="1A9E3EB9"/>
    <w:rsid w:val="1C442654"/>
    <w:rsid w:val="1DA94656"/>
    <w:rsid w:val="1DD27A1F"/>
    <w:rsid w:val="1DF10696"/>
    <w:rsid w:val="1E631366"/>
    <w:rsid w:val="1EFF100B"/>
    <w:rsid w:val="1FEF2EBB"/>
    <w:rsid w:val="214D5AEF"/>
    <w:rsid w:val="21CC1456"/>
    <w:rsid w:val="22550787"/>
    <w:rsid w:val="25137D68"/>
    <w:rsid w:val="263C6EBE"/>
    <w:rsid w:val="284A5BF2"/>
    <w:rsid w:val="29071C1E"/>
    <w:rsid w:val="29DF02C5"/>
    <w:rsid w:val="2A277FBA"/>
    <w:rsid w:val="2B461F65"/>
    <w:rsid w:val="2BE14DAB"/>
    <w:rsid w:val="2C516F87"/>
    <w:rsid w:val="2C753719"/>
    <w:rsid w:val="2D170CFF"/>
    <w:rsid w:val="2D231FEB"/>
    <w:rsid w:val="2D66027E"/>
    <w:rsid w:val="2E0128F7"/>
    <w:rsid w:val="2EF463FD"/>
    <w:rsid w:val="2F8E08A3"/>
    <w:rsid w:val="2FD10C3E"/>
    <w:rsid w:val="305B4673"/>
    <w:rsid w:val="30CE09BD"/>
    <w:rsid w:val="31C6061F"/>
    <w:rsid w:val="325564AA"/>
    <w:rsid w:val="32DB7C0F"/>
    <w:rsid w:val="32DD00BD"/>
    <w:rsid w:val="337317F3"/>
    <w:rsid w:val="33A57CD7"/>
    <w:rsid w:val="34114553"/>
    <w:rsid w:val="34707EFD"/>
    <w:rsid w:val="368C087B"/>
    <w:rsid w:val="369A3443"/>
    <w:rsid w:val="379573AA"/>
    <w:rsid w:val="382D77A1"/>
    <w:rsid w:val="386B654E"/>
    <w:rsid w:val="391352A9"/>
    <w:rsid w:val="3ADD2861"/>
    <w:rsid w:val="3AFA4815"/>
    <w:rsid w:val="3BF6690E"/>
    <w:rsid w:val="3D297853"/>
    <w:rsid w:val="3EE82D6B"/>
    <w:rsid w:val="3F15704C"/>
    <w:rsid w:val="3F3D144D"/>
    <w:rsid w:val="40B04F93"/>
    <w:rsid w:val="415428C2"/>
    <w:rsid w:val="423B28CA"/>
    <w:rsid w:val="426B4468"/>
    <w:rsid w:val="428D21EB"/>
    <w:rsid w:val="43E24FA8"/>
    <w:rsid w:val="4452544F"/>
    <w:rsid w:val="44D021D5"/>
    <w:rsid w:val="45D17096"/>
    <w:rsid w:val="46620974"/>
    <w:rsid w:val="46B032DF"/>
    <w:rsid w:val="46CD6716"/>
    <w:rsid w:val="47263491"/>
    <w:rsid w:val="48BC57F4"/>
    <w:rsid w:val="48BE27DA"/>
    <w:rsid w:val="49A67CE8"/>
    <w:rsid w:val="4B911789"/>
    <w:rsid w:val="4BB542A0"/>
    <w:rsid w:val="4C2F5DFB"/>
    <w:rsid w:val="4C897EB1"/>
    <w:rsid w:val="4C9412CB"/>
    <w:rsid w:val="4CC14FB3"/>
    <w:rsid w:val="4D273C7E"/>
    <w:rsid w:val="4D94490D"/>
    <w:rsid w:val="4DAD2FA1"/>
    <w:rsid w:val="4DDB6E2C"/>
    <w:rsid w:val="4E9C06D0"/>
    <w:rsid w:val="4FBE2F60"/>
    <w:rsid w:val="518C59E9"/>
    <w:rsid w:val="51C0523D"/>
    <w:rsid w:val="520E4E41"/>
    <w:rsid w:val="52837786"/>
    <w:rsid w:val="530B16CF"/>
    <w:rsid w:val="54534766"/>
    <w:rsid w:val="54984E9F"/>
    <w:rsid w:val="587B2371"/>
    <w:rsid w:val="58D27289"/>
    <w:rsid w:val="58EF2A7D"/>
    <w:rsid w:val="59DB16CD"/>
    <w:rsid w:val="5A50498B"/>
    <w:rsid w:val="5B027879"/>
    <w:rsid w:val="5C77642F"/>
    <w:rsid w:val="5CE8125B"/>
    <w:rsid w:val="5CED668D"/>
    <w:rsid w:val="5D5307C1"/>
    <w:rsid w:val="5E0F53FF"/>
    <w:rsid w:val="5E751D15"/>
    <w:rsid w:val="5F1D6839"/>
    <w:rsid w:val="60AC304D"/>
    <w:rsid w:val="60CF2535"/>
    <w:rsid w:val="610438A4"/>
    <w:rsid w:val="679722D4"/>
    <w:rsid w:val="67B767D2"/>
    <w:rsid w:val="68932D56"/>
    <w:rsid w:val="68B26099"/>
    <w:rsid w:val="697C6D68"/>
    <w:rsid w:val="6B4C4B7D"/>
    <w:rsid w:val="6B5F69B6"/>
    <w:rsid w:val="6BC77136"/>
    <w:rsid w:val="6D083A2F"/>
    <w:rsid w:val="6D2C606A"/>
    <w:rsid w:val="6DE212C3"/>
    <w:rsid w:val="6EF24136"/>
    <w:rsid w:val="6EF66C78"/>
    <w:rsid w:val="6F53059E"/>
    <w:rsid w:val="6FF2151A"/>
    <w:rsid w:val="7000577F"/>
    <w:rsid w:val="706D666D"/>
    <w:rsid w:val="71894BD7"/>
    <w:rsid w:val="726258D5"/>
    <w:rsid w:val="727507E7"/>
    <w:rsid w:val="73B232F5"/>
    <w:rsid w:val="73E31935"/>
    <w:rsid w:val="74504E2D"/>
    <w:rsid w:val="747B7968"/>
    <w:rsid w:val="74994EC2"/>
    <w:rsid w:val="74EF7DD6"/>
    <w:rsid w:val="757B108B"/>
    <w:rsid w:val="757B7956"/>
    <w:rsid w:val="774C36AE"/>
    <w:rsid w:val="77B41AFA"/>
    <w:rsid w:val="77DD7782"/>
    <w:rsid w:val="781A40C6"/>
    <w:rsid w:val="78E05724"/>
    <w:rsid w:val="78EB68E7"/>
    <w:rsid w:val="790F5053"/>
    <w:rsid w:val="794F6A88"/>
    <w:rsid w:val="79871452"/>
    <w:rsid w:val="79A342D8"/>
    <w:rsid w:val="7AC91127"/>
    <w:rsid w:val="7B6A0503"/>
    <w:rsid w:val="7B802328"/>
    <w:rsid w:val="7BCD75A4"/>
    <w:rsid w:val="7BFE7EA2"/>
    <w:rsid w:val="7D212BFB"/>
    <w:rsid w:val="7E3539E2"/>
    <w:rsid w:val="7F023EEF"/>
    <w:rsid w:val="7F6765F2"/>
    <w:rsid w:val="7FFB3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_Style 1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5</Pages>
  <Words>341</Words>
  <Characters>1945</Characters>
  <Lines>16</Lines>
  <Paragraphs>4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2019-04-08T02:10:00Z</dcterms:created>
  <dc:creator>黎佩珊</dc:creator>
  <cp:lastModifiedBy>黎佩珊</cp:lastModifiedBy>
  <dcterms:modified xsi:type="dcterms:W3CDTF">2022-04-07T09:17:57Z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