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9"/>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抽检依据</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炒货食品及坚果制品</w:t>
      </w:r>
    </w:p>
    <w:p>
      <w:pPr>
        <w:pStyle w:val="9"/>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坚果与籽类食品》(GB 19300-2014)等标准及产品明示标准和指标的要求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lang w:val="en-US" w:eastAsia="zh-CN"/>
        </w:rPr>
        <w:t>食用农产品</w:t>
      </w:r>
    </w:p>
    <w:p>
      <w:pPr>
        <w:pStyle w:val="9"/>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食品中污染物限量》(GB 2762-2017)、《食品安全国家标准 食品中农药最大残留限量》（GB 2763-2019）、《食品安全国家标准 食品中兽药最大残留限量》(GB 31650-2019)、《食品动物中禁止使用的药品及其他化合物清单》(中华人民共和国农业农村部公告第250号)、</w:t>
      </w:r>
      <w:r>
        <w:rPr>
          <w:rFonts w:hint="eastAsia" w:hAnsi="宋体" w:eastAsia="仿宋_GB2312" w:cs="Times New Roman"/>
          <w:color w:val="auto"/>
          <w:kern w:val="2"/>
          <w:sz w:val="32"/>
          <w:szCs w:val="32"/>
          <w:lang w:val="en-US" w:eastAsia="zh-CN"/>
        </w:rPr>
        <w:t>《发布在食品动物中停止使用洛美沙星、培氟沙星、氧氟沙星、诺氟沙星4种兽药的决定》(农业部公告第2292号)</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《国家食品药品监督管理总局农业部国家卫生和计划生育委员会关于豆芽生产过程中禁止使用6-苄基腺嘌呤等物质的公告》(2015年第11号)</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速冻食品</w:t>
      </w:r>
    </w:p>
    <w:p>
      <w:pPr>
        <w:pStyle w:val="9"/>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食品添加剂使用标准》(GB 2760-2014)、《食品安全国家标准 食品中污染物限量》(GB 2762-2017)、《食品中可能违法添加的非食用物质和易滥用的食品添加剂 品种名单(第五批)》(整顿办函[2011]1号)等标准及产品明示标准和指标的要求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0"/>
        </w:numPr>
        <w:spacing w:line="600" w:lineRule="exact"/>
        <w:jc w:val="both"/>
        <w:rPr>
          <w:rFonts w:hint="eastAsia" w:hAnsi="宋体" w:eastAsia="仿宋_GB2312" w:cs="Times New Roman"/>
          <w:color w:val="auto"/>
          <w:kern w:val="2"/>
          <w:sz w:val="32"/>
          <w:szCs w:val="32"/>
        </w:rPr>
      </w:pPr>
    </w:p>
    <w:p>
      <w:pPr>
        <w:pStyle w:val="9"/>
        <w:numPr>
          <w:ilvl w:val="0"/>
          <w:numId w:val="0"/>
        </w:numPr>
        <w:spacing w:line="600" w:lineRule="exact"/>
        <w:jc w:val="both"/>
        <w:rPr>
          <w:rFonts w:hint="eastAsia" w:hAnsi="宋体" w:eastAsia="仿宋_GB2312" w:cs="Times New Roman"/>
          <w:color w:val="auto"/>
          <w:kern w:val="2"/>
          <w:sz w:val="32"/>
          <w:szCs w:val="32"/>
          <w:lang w:eastAsia="zh-CN"/>
        </w:rPr>
      </w:pPr>
    </w:p>
    <w:p>
      <w:pPr>
        <w:pStyle w:val="9"/>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6-苄基腺嘌呤(6-BA)</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恩诺沙星</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氟苯尼考</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镉(以Cd计)</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过氧化值(以脂肪计)</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氯霉素</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灭蝇胺</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w:t>
      </w:r>
      <w:r>
        <w:rPr>
          <w:rFonts w:hint="eastAsia" w:ascii="仿宋" w:hAnsi="仿宋" w:eastAsia="仿宋" w:cs="仿宋"/>
          <w:sz w:val="32"/>
          <w:szCs w:val="32"/>
          <w:lang w:val="en-US" w:eastAsia="zh-CN" w:bidi="zh-CN"/>
        </w:rPr>
        <w:t>美洲</w:t>
      </w:r>
      <w:bookmarkStart w:id="0" w:name="_GoBack"/>
      <w:bookmarkEnd w:id="0"/>
      <w:r>
        <w:rPr>
          <w:rFonts w:hint="eastAsia" w:ascii="仿宋" w:hAnsi="仿宋" w:eastAsia="仿宋" w:cs="仿宋"/>
          <w:sz w:val="32"/>
          <w:szCs w:val="32"/>
          <w:lang w:val="zh-CN" w:eastAsia="zh-CN" w:bidi="zh-CN"/>
        </w:rPr>
        <w:t>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铅</w:t>
      </w:r>
    </w:p>
    <w:p>
      <w:pPr>
        <w:spacing w:line="560" w:lineRule="exact"/>
        <w:ind w:firstLine="640" w:firstLineChars="200"/>
        <w:jc w:val="left"/>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铅是一种稳定的不可降解的污染物，铅超标可能是生产企业对原料质量把关不严，使用了铅含量超标的原料，或生产加工环境不符合要求，由生产设备迁移入产品等导致。</w:t>
      </w:r>
    </w:p>
    <w:p>
      <w:pPr>
        <w:pStyle w:val="9"/>
        <w:numPr>
          <w:ilvl w:val="0"/>
          <w:numId w:val="3"/>
        </w:numPr>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default" w:hAnsi="宋体" w:eastAsia="仿宋_GB2312" w:cs="Times New Roman"/>
          <w:color w:val="auto"/>
          <w:kern w:val="2"/>
          <w:sz w:val="32"/>
          <w:szCs w:val="32"/>
          <w:highlight w:val="none"/>
          <w:lang w:val="en-US" w:eastAsia="zh-CN"/>
        </w:rPr>
        <w:t>噻虫嗪</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噻虫嗪对害虫具有胃毒、触杀及内吸活性，用于叶面喷雾及土壤灌根处理。其施药后迅速被内吸，并传导到植株各部位，对刺吸式害虫如蚜虫、飞虱、叶蝉、粉虱等有良好的防效。噻虫嗪为低毒农药，一般不会引起中毒事故.噻虫嗪超标的可能原因是： 1.种植户为了追求良好的杀虫效果，超剂量使用噻虫嗪。2.种植户没有按规定的休药期进行采摘，从而导致噻虫嗪残留量超标。 3.种植土壤、水源中的噻虫嗪残留超标。</w:t>
      </w:r>
    </w:p>
    <w:p>
      <w:pPr>
        <w:pStyle w:val="9"/>
        <w:numPr>
          <w:ilvl w:val="0"/>
          <w:numId w:val="0"/>
        </w:numPr>
        <w:spacing w:line="600" w:lineRule="exact"/>
        <w:jc w:val="both"/>
        <w:rPr>
          <w:rFonts w:hint="default" w:hAnsi="宋体" w:eastAsia="仿宋_GB2312" w:cs="Times New Roman"/>
          <w:color w:val="auto"/>
          <w:kern w:val="2"/>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177A552E"/>
    <w:multiLevelType w:val="singleLevel"/>
    <w:tmpl w:val="177A552E"/>
    <w:lvl w:ilvl="0" w:tentative="0">
      <w:start w:val="1"/>
      <w:numFmt w:val="chineseCounting"/>
      <w:suff w:val="nothing"/>
      <w:lvlText w:val="（%1）"/>
      <w:lvlJc w:val="left"/>
      <w:rPr>
        <w:rFonts w:hint="eastAsia"/>
      </w:rPr>
    </w:lvl>
  </w:abstractNum>
  <w:abstractNum w:abstractNumId="2">
    <w:nsid w:val="7E9A4B05"/>
    <w:multiLevelType w:val="singleLevel"/>
    <w:tmpl w:val="7E9A4B0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B054BA"/>
    <w:rsid w:val="03F06EAD"/>
    <w:rsid w:val="04296B82"/>
    <w:rsid w:val="050D6EC3"/>
    <w:rsid w:val="078602F3"/>
    <w:rsid w:val="090604A3"/>
    <w:rsid w:val="0A5020B4"/>
    <w:rsid w:val="0BFE7616"/>
    <w:rsid w:val="0C1667AC"/>
    <w:rsid w:val="0CEF6768"/>
    <w:rsid w:val="0D2B2324"/>
    <w:rsid w:val="104B7313"/>
    <w:rsid w:val="139C76A1"/>
    <w:rsid w:val="145F0D0D"/>
    <w:rsid w:val="14BC0E10"/>
    <w:rsid w:val="156B7E6D"/>
    <w:rsid w:val="15886BAB"/>
    <w:rsid w:val="15C74A14"/>
    <w:rsid w:val="16627B1C"/>
    <w:rsid w:val="17177BD8"/>
    <w:rsid w:val="17EF416E"/>
    <w:rsid w:val="18451B3F"/>
    <w:rsid w:val="195B4923"/>
    <w:rsid w:val="19FE57A3"/>
    <w:rsid w:val="1A9E3EB9"/>
    <w:rsid w:val="1AE866F1"/>
    <w:rsid w:val="1C427968"/>
    <w:rsid w:val="1D567831"/>
    <w:rsid w:val="1DF10696"/>
    <w:rsid w:val="1EFF100B"/>
    <w:rsid w:val="21CC1456"/>
    <w:rsid w:val="22550787"/>
    <w:rsid w:val="25137D68"/>
    <w:rsid w:val="263C6EBE"/>
    <w:rsid w:val="284A5BF2"/>
    <w:rsid w:val="299A214E"/>
    <w:rsid w:val="29DF02C5"/>
    <w:rsid w:val="2A277FBA"/>
    <w:rsid w:val="2B461F65"/>
    <w:rsid w:val="2C516F87"/>
    <w:rsid w:val="2C753719"/>
    <w:rsid w:val="2D231FEB"/>
    <w:rsid w:val="2D66027E"/>
    <w:rsid w:val="2FCC3878"/>
    <w:rsid w:val="2FD10C3E"/>
    <w:rsid w:val="305B4673"/>
    <w:rsid w:val="30CE09BD"/>
    <w:rsid w:val="31C6061F"/>
    <w:rsid w:val="325564AA"/>
    <w:rsid w:val="32DD00BD"/>
    <w:rsid w:val="337317F3"/>
    <w:rsid w:val="379573AA"/>
    <w:rsid w:val="386B654E"/>
    <w:rsid w:val="391352A9"/>
    <w:rsid w:val="3ADD2861"/>
    <w:rsid w:val="3AFA4815"/>
    <w:rsid w:val="3D297853"/>
    <w:rsid w:val="3F684F93"/>
    <w:rsid w:val="40B04F93"/>
    <w:rsid w:val="415428C2"/>
    <w:rsid w:val="423B28CA"/>
    <w:rsid w:val="428D21EB"/>
    <w:rsid w:val="4452544F"/>
    <w:rsid w:val="45D17096"/>
    <w:rsid w:val="46B032DF"/>
    <w:rsid w:val="49A67CE8"/>
    <w:rsid w:val="4B911789"/>
    <w:rsid w:val="4CC14FB3"/>
    <w:rsid w:val="4D94490D"/>
    <w:rsid w:val="4DAD2FA1"/>
    <w:rsid w:val="4DB60F8B"/>
    <w:rsid w:val="4DDB6E2C"/>
    <w:rsid w:val="4E9C06D0"/>
    <w:rsid w:val="4EE74B80"/>
    <w:rsid w:val="51C0523D"/>
    <w:rsid w:val="520E4E41"/>
    <w:rsid w:val="58D27289"/>
    <w:rsid w:val="58EF2A7D"/>
    <w:rsid w:val="5A50498B"/>
    <w:rsid w:val="5C77642F"/>
    <w:rsid w:val="5CED668D"/>
    <w:rsid w:val="5E751D15"/>
    <w:rsid w:val="5F1D6839"/>
    <w:rsid w:val="60CF2535"/>
    <w:rsid w:val="68932D56"/>
    <w:rsid w:val="68B26099"/>
    <w:rsid w:val="697C6D68"/>
    <w:rsid w:val="6B4C4B7D"/>
    <w:rsid w:val="6B5F69B6"/>
    <w:rsid w:val="6EF66C78"/>
    <w:rsid w:val="6FF2151A"/>
    <w:rsid w:val="6FF90541"/>
    <w:rsid w:val="706D666D"/>
    <w:rsid w:val="71894BD7"/>
    <w:rsid w:val="726258D5"/>
    <w:rsid w:val="73B232F5"/>
    <w:rsid w:val="74994EC2"/>
    <w:rsid w:val="74EF7DD6"/>
    <w:rsid w:val="757B108B"/>
    <w:rsid w:val="757B7956"/>
    <w:rsid w:val="77B41AFA"/>
    <w:rsid w:val="77DD7782"/>
    <w:rsid w:val="794F6A88"/>
    <w:rsid w:val="79871452"/>
    <w:rsid w:val="7AD2618C"/>
    <w:rsid w:val="7B6A0503"/>
    <w:rsid w:val="7B802328"/>
    <w:rsid w:val="7BCD75A4"/>
    <w:rsid w:val="7C7C6CB5"/>
    <w:rsid w:val="7D212BFB"/>
    <w:rsid w:val="7E3539E2"/>
    <w:rsid w:val="7E68359A"/>
    <w:rsid w:val="7F023E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2022-04-08T02:58:59Z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