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sz w:val="32"/>
          <w:szCs w:val="32"/>
          <w:lang w:eastAsia="zh-CN"/>
        </w:rPr>
      </w:pPr>
      <w:r>
        <w:rPr>
          <w:rFonts w:hint="eastAsia" w:ascii="宋体" w:hAnsi="宋体"/>
          <w:sz w:val="32"/>
          <w:szCs w:val="32"/>
        </w:rPr>
        <w:t>附件</w:t>
      </w:r>
      <w:r>
        <w:rPr>
          <w:rFonts w:hint="eastAsia" w:ascii="宋体" w:hAnsi="宋体"/>
          <w:sz w:val="32"/>
          <w:szCs w:val="32"/>
          <w:lang w:val="en-US" w:eastAsia="zh-CN"/>
        </w:rPr>
        <w:t>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部分检验依据、项目的</w:t>
      </w:r>
      <w:r>
        <w:rPr>
          <w:rFonts w:hint="eastAsia" w:ascii="方正小标宋简体" w:eastAsia="方正小标宋简体"/>
          <w:sz w:val="44"/>
          <w:szCs w:val="44"/>
        </w:rPr>
        <w:t>说明</w:t>
      </w:r>
    </w:p>
    <w:p>
      <w:pPr>
        <w:spacing w:line="600" w:lineRule="exact"/>
        <w:ind w:firstLine="643" w:firstLineChars="200"/>
        <w:rPr>
          <w:rFonts w:ascii="仿宋_GB2312" w:hAnsi="Times New Roman" w:eastAsia="仿宋_GB2312"/>
          <w:b/>
          <w:sz w:val="32"/>
          <w:szCs w:val="32"/>
        </w:rPr>
      </w:pPr>
    </w:p>
    <w:p>
      <w:pPr>
        <w:pStyle w:val="9"/>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rPr>
        <w:t>抽检依据</w:t>
      </w:r>
    </w:p>
    <w:p>
      <w:pPr>
        <w:pStyle w:val="9"/>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炒货食品及坚果制品</w:t>
      </w:r>
    </w:p>
    <w:p>
      <w:pPr>
        <w:pStyle w:val="9"/>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坚果与籽类食品》</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19300-2014</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9"/>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lang w:val="en-US" w:eastAsia="zh-CN"/>
        </w:rPr>
        <w:t>粮食加工品</w:t>
      </w:r>
    </w:p>
    <w:p>
      <w:pPr>
        <w:pStyle w:val="9"/>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《食品安全国家标准 食品添加剂使用标准》(GB 2760-2014)、《食品安全国家标准 食品中污染物限量》(GB 2762-2017)等标准及产品明示标准和指标的要求</w:t>
      </w:r>
      <w:r>
        <w:rPr>
          <w:rFonts w:hint="eastAsia" w:hAnsi="宋体" w:eastAsia="仿宋_GB2312" w:cs="Times New Roman"/>
          <w:color w:val="auto"/>
          <w:kern w:val="2"/>
          <w:sz w:val="32"/>
          <w:szCs w:val="32"/>
          <w:highlight w:val="none"/>
          <w:lang w:eastAsia="zh-CN"/>
        </w:rPr>
        <w:t>。</w:t>
      </w:r>
    </w:p>
    <w:p>
      <w:pPr>
        <w:pStyle w:val="9"/>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肉制品</w:t>
      </w:r>
    </w:p>
    <w:p>
      <w:pPr>
        <w:pStyle w:val="9"/>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highlight w:val="none"/>
        </w:rPr>
        <w:t>《食品安全国家标准 食品添加剂使用标准》</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GB 2760-2014</w:t>
      </w:r>
      <w:r>
        <w:rPr>
          <w:rFonts w:hint="eastAsia" w:hAnsi="宋体" w:eastAsia="仿宋_GB2312" w:cs="Times New Roman"/>
          <w:color w:val="auto"/>
          <w:kern w:val="2"/>
          <w:sz w:val="32"/>
          <w:szCs w:val="32"/>
          <w:highlight w:val="none"/>
          <w:lang w:eastAsia="zh-CN"/>
        </w:rPr>
        <w:t>）</w:t>
      </w: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9"/>
        <w:numPr>
          <w:ilvl w:val="0"/>
          <w:numId w:val="2"/>
        </w:numPr>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rPr>
        <w:t>食用农产品</w:t>
      </w:r>
    </w:p>
    <w:p>
      <w:pPr>
        <w:pStyle w:val="9"/>
        <w:spacing w:line="600" w:lineRule="exact"/>
        <w:ind w:firstLine="640" w:firstLineChars="200"/>
        <w:jc w:val="both"/>
        <w:rPr>
          <w:rFonts w:hint="eastAsia" w:hAnsi="宋体" w:eastAsia="仿宋_GB2312" w:cs="Times New Roman"/>
          <w:color w:val="auto"/>
          <w:kern w:val="2"/>
          <w:sz w:val="32"/>
          <w:szCs w:val="32"/>
        </w:rPr>
      </w:pPr>
      <w:r>
        <w:rPr>
          <w:rFonts w:hint="eastAsia" w:hAnsi="宋体" w:eastAsia="仿宋_GB2312" w:cs="Times New Roman"/>
          <w:color w:val="auto"/>
          <w:kern w:val="2"/>
          <w:sz w:val="32"/>
          <w:szCs w:val="32"/>
          <w:highlight w:val="none"/>
          <w:lang w:eastAsia="zh-CN"/>
        </w:rPr>
        <w:t>《食品安全国家标准 食品中污染物限量》(GB 2762-2017)、</w:t>
      </w:r>
      <w:r>
        <w:rPr>
          <w:rFonts w:hint="eastAsia" w:hAnsi="宋体" w:eastAsia="仿宋_GB2312" w:cs="Times New Roman"/>
          <w:color w:val="auto"/>
          <w:kern w:val="2"/>
          <w:sz w:val="32"/>
          <w:szCs w:val="32"/>
          <w:highlight w:val="none"/>
        </w:rPr>
        <w:t>《食品安全国家标准 食品中农药最大残留限量》(GB 2763-2019)</w:t>
      </w:r>
      <w:r>
        <w:rPr>
          <w:rFonts w:hint="eastAsia" w:hAnsi="宋体" w:eastAsia="仿宋_GB2312" w:cs="Times New Roman"/>
          <w:color w:val="auto"/>
          <w:kern w:val="2"/>
          <w:sz w:val="32"/>
          <w:szCs w:val="32"/>
          <w:highlight w:val="none"/>
          <w:lang w:eastAsia="zh-CN"/>
        </w:rPr>
        <w:t>、《食品安全国家标准 食品中兽药最大残留限量》(GB 31650-2019)、《食品中可能违法添加的非食用物质和易滥用的食品添加剂名单（第四批）》(整顿办函〔2010〕50号 )、《食品动物中禁止使用的药品及其他化合物清单》(农业农村部公告 第250号)、《兽药地方标准废止目录》(农业部公告第560号)</w:t>
      </w:r>
      <w:r>
        <w:rPr>
          <w:rFonts w:hint="eastAsia" w:hAnsi="宋体" w:eastAsia="仿宋_GB2312" w:cs="Times New Roman"/>
          <w:color w:val="auto"/>
          <w:kern w:val="2"/>
          <w:sz w:val="32"/>
          <w:szCs w:val="32"/>
          <w:highlight w:val="none"/>
        </w:rPr>
        <w:t>等标准及产品明示标准和指标的要求</w:t>
      </w:r>
      <w:r>
        <w:rPr>
          <w:rFonts w:hint="eastAsia" w:hAnsi="宋体" w:eastAsia="仿宋_GB2312" w:cs="Times New Roman"/>
          <w:color w:val="auto"/>
          <w:kern w:val="2"/>
          <w:sz w:val="32"/>
          <w:szCs w:val="32"/>
          <w:highlight w:val="none"/>
          <w:lang w:eastAsia="zh-CN"/>
        </w:rPr>
        <w:t>。</w:t>
      </w:r>
    </w:p>
    <w:p>
      <w:pPr>
        <w:pStyle w:val="9"/>
        <w:numPr>
          <w:ilvl w:val="0"/>
          <w:numId w:val="0"/>
        </w:numPr>
        <w:spacing w:line="600" w:lineRule="exact"/>
        <w:jc w:val="both"/>
        <w:rPr>
          <w:rFonts w:hint="eastAsia" w:hAnsi="宋体" w:eastAsia="仿宋_GB2312" w:cs="Times New Roman"/>
          <w:color w:val="auto"/>
          <w:kern w:val="2"/>
          <w:sz w:val="32"/>
          <w:szCs w:val="32"/>
          <w:lang w:eastAsia="zh-CN"/>
        </w:rPr>
      </w:pPr>
    </w:p>
    <w:p>
      <w:pPr>
        <w:pStyle w:val="9"/>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检验项目的</w:t>
      </w:r>
      <w:r>
        <w:rPr>
          <w:rFonts w:hint="eastAsia" w:hAnsi="宋体" w:eastAsia="仿宋_GB2312" w:cs="Times New Roman"/>
          <w:color w:val="auto"/>
          <w:kern w:val="2"/>
          <w:sz w:val="32"/>
          <w:szCs w:val="32"/>
          <w:highlight w:val="none"/>
        </w:rPr>
        <w:t>说明</w:t>
      </w:r>
    </w:p>
    <w:p>
      <w:pPr>
        <w:pStyle w:val="9"/>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6-苄基腺嘌呤(6-BA)</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pStyle w:val="9"/>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恩诺沙星</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pStyle w:val="9"/>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氟苯尼考</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pStyle w:val="9"/>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氟虫腈</w:t>
      </w:r>
    </w:p>
    <w:p>
      <w:pPr>
        <w:spacing w:line="600" w:lineRule="exact"/>
        <w:ind w:firstLine="640" w:firstLineChars="200"/>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rPr>
        <w:t>氟虫腈是一种中毒苯基吡唑类杀虫剂，对甲壳类水生生物和蜜蜂具有高风险，在水和土壤中降解慢，对环境极其不友好。为了保护农业生产安全、生态环境安全，根据《农业部、工业和信息化部、环境保护部公告（第1157号）》自2009年10月1日起，除卫生用、玉米等部分旱田种子包衣剂外，停止销售和使用用于其他方面的含氟虫腈成分的农药制剂。</w:t>
      </w:r>
    </w:p>
    <w:p>
      <w:pPr>
        <w:pStyle w:val="9"/>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磺胺类(总量)</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en-US" w:eastAsia="zh-CN"/>
        </w:rPr>
        <w:t>磺胺类药物是一种人工合成的抗菌药，具有抗菌谱较广、性质稳定、使用简便等特性，对大多数革兰氏阳性菌和阴性菌都有较强抑制作用，广泛用于防治鸡球虫病。《动物性食品中兽药最高残留限量》（农业部公告第235号）规定，磺胺类在所有食品动物的肌肉和脂肪中的最高残留限量为100μg/kg。</w:t>
      </w:r>
    </w:p>
    <w:p>
      <w:pPr>
        <w:pStyle w:val="9"/>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灭蝇胺</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en-US" w:eastAsia="zh-CN" w:bidi="zh-CN"/>
        </w:rPr>
        <w:t>灭蝇胺是一种昆虫生长调节剂类低毒杀虫剂，有非常强的选择性，主要对双翅目昆虫有活性。</w:t>
      </w:r>
      <w:r>
        <w:rPr>
          <w:rFonts w:hint="eastAsia" w:ascii="仿宋" w:hAnsi="仿宋" w:eastAsia="仿宋" w:cs="仿宋"/>
          <w:sz w:val="32"/>
          <w:szCs w:val="32"/>
          <w:lang w:val="zh-CN" w:eastAsia="zh-CN" w:bidi="zh-CN"/>
        </w:rPr>
        <w:t>灭蝇胺适用于多种瓜果蔬菜，主要对"蝇类"害虫具有良好的杀虫作用。目前瓜果蔬菜生产中主要用于防治:各种瓜果类、茄果类、豆类及多种叶菜类蔬菜的</w:t>
      </w:r>
      <w:r>
        <w:rPr>
          <w:rFonts w:hint="eastAsia" w:ascii="仿宋" w:hAnsi="仿宋" w:eastAsia="仿宋" w:cs="仿宋"/>
          <w:sz w:val="32"/>
          <w:szCs w:val="32"/>
          <w:lang w:val="en-US" w:eastAsia="zh-CN" w:bidi="zh-CN"/>
        </w:rPr>
        <w:t>美洲</w:t>
      </w:r>
      <w:bookmarkStart w:id="0" w:name="_GoBack"/>
      <w:bookmarkEnd w:id="0"/>
      <w:r>
        <w:rPr>
          <w:rFonts w:hint="eastAsia" w:ascii="仿宋" w:hAnsi="仿宋" w:eastAsia="仿宋" w:cs="仿宋"/>
          <w:sz w:val="32"/>
          <w:szCs w:val="32"/>
          <w:lang w:val="zh-CN" w:eastAsia="zh-CN" w:bidi="zh-CN"/>
        </w:rPr>
        <w:t>斑潜蝇、南美斑潜蝇、豆杆黑潜蝇、葱斑潜叶蝇、三叶斑潜蝇等多种潜叶蝇，韭菜及葱、蒜的根蛆(韭菜赤眼草蚊)等。</w:t>
      </w:r>
      <w:r>
        <w:rPr>
          <w:rFonts w:hint="eastAsia" w:ascii="仿宋" w:hAnsi="仿宋" w:eastAsia="仿宋" w:cs="仿宋"/>
          <w:sz w:val="32"/>
          <w:szCs w:val="32"/>
          <w:lang w:val="en-US" w:eastAsia="zh-CN" w:bidi="zh-CN"/>
        </w:rPr>
        <w:t>灭蝇胺</w:t>
      </w:r>
      <w:r>
        <w:rPr>
          <w:rFonts w:hint="eastAsia" w:ascii="仿宋" w:hAnsi="仿宋" w:eastAsia="仿宋" w:cs="仿宋"/>
          <w:sz w:val="32"/>
          <w:szCs w:val="32"/>
          <w:lang w:val="zh-CN" w:eastAsia="zh-CN" w:bidi="zh-CN"/>
        </w:rPr>
        <w:t>持效期较长，但作用速度较慢，是一种高效、低毒生态农药。</w:t>
      </w:r>
    </w:p>
    <w:p>
      <w:pPr>
        <w:pStyle w:val="9"/>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铅(以Pb计)</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铅是一种稳定的不可降解的污染物，铅超标可能是生产企业对原料质量把关不严，使用了铅含量超标的原料，或生产加工环境不符合要求，由生产设备迁移入产品等导致。</w:t>
      </w:r>
    </w:p>
    <w:p>
      <w:pPr>
        <w:pStyle w:val="9"/>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苯甲酸及其钠盐(以苯甲酸计)</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zh-CN" w:eastAsia="zh-CN"/>
        </w:rPr>
        <w:t>苯甲酸及其钠盐是用以保持食品原有品质和营养价值为目的的食品添加剂，被用来抑制食品中微生物的繁殖，以延长食品保质期。苯甲酸可在人体内参与代谢，在人体组织中与蛋白质成分的甘氨酸结合形成马尿酸随尿排出。由于其迅速地代谢和排泄，不会在人体内积累，因此毒性低，合理使用防腐剂对人体健康无害。</w:t>
      </w:r>
    </w:p>
    <w:p>
      <w:pPr>
        <w:pStyle w:val="9"/>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过氧化值(以脂肪计)</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zh-CN" w:eastAsia="zh-CN"/>
        </w:rPr>
        <w:t>过氧化值主要反映食品中油脂是否氧化变质。随着油脂氧化，过氧化值会逐步升高。过氧化值超标可能是产品用油已经变质，或者产品在储存过程中环境条件控制不当，导致油脂酸败；也可能是原料中的脂肪已经氧化，原料储存不当，未采取有效的抗氧化措施，使得终产品油脂氧化。</w:t>
      </w:r>
    </w:p>
    <w:p>
      <w:pPr>
        <w:pStyle w:val="9"/>
        <w:numPr>
          <w:ilvl w:val="0"/>
          <w:numId w:val="3"/>
        </w:numPr>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脱氢乙酸及其钠盐(以脱氢乙酸计)</w:t>
      </w:r>
    </w:p>
    <w:p>
      <w:pPr>
        <w:spacing w:line="600" w:lineRule="exact"/>
        <w:ind w:firstLine="640" w:firstLineChars="200"/>
        <w:jc w:val="left"/>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脱氢乙酸及其钠盐作为一种广谱食品防腐剂，可以防止细菌的生长和繁殖，尤其对霉菌的抑制作用很强，但毒性较低，按标准规定的范围和使用量使用是安全可靠的。抽检不合格的原因可能是企业为防止食品腐败变质而延长食品的保存时间并保持原有食品的风味，而超限量使用，也有可能是对原材料（包括食品添加剂）把关不严，原料带入。</w:t>
      </w:r>
    </w:p>
    <w:p>
      <w:pPr>
        <w:pStyle w:val="9"/>
        <w:numPr>
          <w:ilvl w:val="0"/>
          <w:numId w:val="0"/>
        </w:numPr>
        <w:spacing w:line="600" w:lineRule="exact"/>
        <w:jc w:val="both"/>
        <w:rPr>
          <w:rFonts w:hint="eastAsia" w:hAnsi="宋体" w:eastAsia="仿宋_GB2312" w:cs="Times New Roman"/>
          <w:color w:val="auto"/>
          <w:kern w:val="2"/>
          <w:sz w:val="32"/>
          <w:szCs w:val="32"/>
          <w:highlight w:val="none"/>
          <w:lang w:val="en-US" w:eastAsia="zh-CN"/>
        </w:rPr>
      </w:pPr>
    </w:p>
    <w:p>
      <w:pPr>
        <w:pStyle w:val="9"/>
        <w:numPr>
          <w:ilvl w:val="0"/>
          <w:numId w:val="0"/>
        </w:numPr>
        <w:spacing w:line="600" w:lineRule="exact"/>
        <w:jc w:val="both"/>
        <w:rPr>
          <w:rFonts w:hint="eastAsia" w:hAnsi="宋体" w:eastAsia="仿宋_GB2312" w:cs="Times New Roman"/>
          <w:color w:val="auto"/>
          <w:kern w:val="2"/>
          <w:sz w:val="32"/>
          <w:szCs w:val="32"/>
          <w:highlight w:val="none"/>
          <w:lang w:val="en-US" w:eastAsia="zh-CN"/>
        </w:rPr>
      </w:pPr>
    </w:p>
    <w:p>
      <w:pPr>
        <w:pStyle w:val="9"/>
        <w:numPr>
          <w:ilvl w:val="0"/>
          <w:numId w:val="0"/>
        </w:numPr>
        <w:spacing w:line="600" w:lineRule="exact"/>
        <w:jc w:val="both"/>
        <w:rPr>
          <w:rFonts w:hint="eastAsia" w:hAnsi="宋体" w:eastAsia="仿宋_GB2312" w:cs="Times New Roman"/>
          <w:color w:val="auto"/>
          <w:kern w:val="2"/>
          <w:sz w:val="32"/>
          <w:szCs w:val="32"/>
          <w:highlight w:val="none"/>
          <w:lang w:val="en-US" w:eastAsia="zh-CN"/>
        </w:rPr>
      </w:pPr>
    </w:p>
    <w:p>
      <w:pPr>
        <w:pStyle w:val="9"/>
        <w:numPr>
          <w:ilvl w:val="0"/>
          <w:numId w:val="0"/>
        </w:numPr>
        <w:spacing w:line="600" w:lineRule="exact"/>
        <w:jc w:val="both"/>
        <w:rPr>
          <w:rFonts w:hint="default" w:hAnsi="宋体" w:eastAsia="仿宋_GB2312" w:cs="Times New Roman"/>
          <w:color w:val="auto"/>
          <w:kern w:val="2"/>
          <w:sz w:val="32"/>
          <w:szCs w:val="32"/>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DE65"/>
    <w:multiLevelType w:val="singleLevel"/>
    <w:tmpl w:val="952DDE65"/>
    <w:lvl w:ilvl="0" w:tentative="0">
      <w:start w:val="1"/>
      <w:numFmt w:val="chineseCounting"/>
      <w:suff w:val="nothing"/>
      <w:lvlText w:val="（%1）"/>
      <w:lvlJc w:val="left"/>
      <w:rPr>
        <w:rFonts w:hint="eastAsia"/>
      </w:rPr>
    </w:lvl>
  </w:abstractNum>
  <w:abstractNum w:abstractNumId="1">
    <w:nsid w:val="177A552E"/>
    <w:multiLevelType w:val="singleLevel"/>
    <w:tmpl w:val="177A552E"/>
    <w:lvl w:ilvl="0" w:tentative="0">
      <w:start w:val="1"/>
      <w:numFmt w:val="chineseCounting"/>
      <w:suff w:val="nothing"/>
      <w:lvlText w:val="（%1）"/>
      <w:lvlJc w:val="left"/>
      <w:rPr>
        <w:rFonts w:hint="eastAsia"/>
      </w:rPr>
    </w:lvl>
  </w:abstractNum>
  <w:abstractNum w:abstractNumId="2">
    <w:nsid w:val="7E9A4B05"/>
    <w:multiLevelType w:val="singleLevel"/>
    <w:tmpl w:val="7E9A4B0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B054BA"/>
    <w:rsid w:val="03F06EAD"/>
    <w:rsid w:val="050D6EC3"/>
    <w:rsid w:val="078602F3"/>
    <w:rsid w:val="08C87576"/>
    <w:rsid w:val="090604A3"/>
    <w:rsid w:val="0A5020B4"/>
    <w:rsid w:val="0BFE7616"/>
    <w:rsid w:val="0C1667AC"/>
    <w:rsid w:val="0CEF6768"/>
    <w:rsid w:val="0D2B2324"/>
    <w:rsid w:val="104B7313"/>
    <w:rsid w:val="10C212DF"/>
    <w:rsid w:val="139C76A1"/>
    <w:rsid w:val="145F0D0D"/>
    <w:rsid w:val="156B7E6D"/>
    <w:rsid w:val="15886BAB"/>
    <w:rsid w:val="15C74A14"/>
    <w:rsid w:val="16627B1C"/>
    <w:rsid w:val="17177BD8"/>
    <w:rsid w:val="17A15E0E"/>
    <w:rsid w:val="17EF416E"/>
    <w:rsid w:val="18451B3F"/>
    <w:rsid w:val="188C1E56"/>
    <w:rsid w:val="195B4923"/>
    <w:rsid w:val="19FE57A3"/>
    <w:rsid w:val="1A9E3EB9"/>
    <w:rsid w:val="1DF10696"/>
    <w:rsid w:val="1EFF100B"/>
    <w:rsid w:val="21CC1456"/>
    <w:rsid w:val="22550787"/>
    <w:rsid w:val="25137D68"/>
    <w:rsid w:val="263C6EBE"/>
    <w:rsid w:val="284A5BF2"/>
    <w:rsid w:val="29DF02C5"/>
    <w:rsid w:val="2A277FBA"/>
    <w:rsid w:val="2B461F65"/>
    <w:rsid w:val="2C516F87"/>
    <w:rsid w:val="2C753719"/>
    <w:rsid w:val="2D231FEB"/>
    <w:rsid w:val="2D66027E"/>
    <w:rsid w:val="2FD10C3E"/>
    <w:rsid w:val="305B4673"/>
    <w:rsid w:val="30CE09BD"/>
    <w:rsid w:val="31C6061F"/>
    <w:rsid w:val="325564AA"/>
    <w:rsid w:val="32DD00BD"/>
    <w:rsid w:val="337317F3"/>
    <w:rsid w:val="379573AA"/>
    <w:rsid w:val="386B654E"/>
    <w:rsid w:val="391352A9"/>
    <w:rsid w:val="3ADD2861"/>
    <w:rsid w:val="3AFA4815"/>
    <w:rsid w:val="3BC52C1E"/>
    <w:rsid w:val="3D297853"/>
    <w:rsid w:val="40B04F93"/>
    <w:rsid w:val="415428C2"/>
    <w:rsid w:val="423B28CA"/>
    <w:rsid w:val="428D21EB"/>
    <w:rsid w:val="434C3974"/>
    <w:rsid w:val="4452544F"/>
    <w:rsid w:val="45D17096"/>
    <w:rsid w:val="46300235"/>
    <w:rsid w:val="46B032DF"/>
    <w:rsid w:val="484C2B2E"/>
    <w:rsid w:val="49A67CE8"/>
    <w:rsid w:val="4B911789"/>
    <w:rsid w:val="4CC14FB3"/>
    <w:rsid w:val="4D94490D"/>
    <w:rsid w:val="4DAD2FA1"/>
    <w:rsid w:val="4DDB6E2C"/>
    <w:rsid w:val="4E9C06D0"/>
    <w:rsid w:val="51C0523D"/>
    <w:rsid w:val="520E4E41"/>
    <w:rsid w:val="58D27289"/>
    <w:rsid w:val="58EF2A7D"/>
    <w:rsid w:val="5A50498B"/>
    <w:rsid w:val="5BC62F1F"/>
    <w:rsid w:val="5C77642F"/>
    <w:rsid w:val="5CED668D"/>
    <w:rsid w:val="5E751D15"/>
    <w:rsid w:val="5F1D6839"/>
    <w:rsid w:val="60B81ABE"/>
    <w:rsid w:val="60CF2535"/>
    <w:rsid w:val="67236BC5"/>
    <w:rsid w:val="68932D56"/>
    <w:rsid w:val="68B26099"/>
    <w:rsid w:val="697C6D68"/>
    <w:rsid w:val="6B4C4B7D"/>
    <w:rsid w:val="6B5F69B6"/>
    <w:rsid w:val="6EF66C78"/>
    <w:rsid w:val="6FF2151A"/>
    <w:rsid w:val="706D666D"/>
    <w:rsid w:val="71894BD7"/>
    <w:rsid w:val="726258D5"/>
    <w:rsid w:val="73303587"/>
    <w:rsid w:val="736B376C"/>
    <w:rsid w:val="73B232F5"/>
    <w:rsid w:val="74994EC2"/>
    <w:rsid w:val="74EF7DD6"/>
    <w:rsid w:val="757B108B"/>
    <w:rsid w:val="757B7956"/>
    <w:rsid w:val="77B41AFA"/>
    <w:rsid w:val="77DD7782"/>
    <w:rsid w:val="78D31F49"/>
    <w:rsid w:val="794F6A88"/>
    <w:rsid w:val="7954379C"/>
    <w:rsid w:val="79871452"/>
    <w:rsid w:val="7B6A0503"/>
    <w:rsid w:val="7B802328"/>
    <w:rsid w:val="7BCD75A4"/>
    <w:rsid w:val="7D212BFB"/>
    <w:rsid w:val="7E3539E2"/>
    <w:rsid w:val="7EA271D1"/>
    <w:rsid w:val="7F023E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_Style 1"/>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黎佩珊</cp:lastModifiedBy>
  <dcterms:modified xsi:type="dcterms:W3CDTF">2022-04-08T03:06:58Z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