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部分检验依据、项目的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抽检依据</w:t>
      </w:r>
    </w:p>
    <w:p>
      <w:pPr>
        <w:pStyle w:val="9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酒类</w:t>
      </w:r>
    </w:p>
    <w:p>
      <w:pPr>
        <w:pStyle w:val="9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标准及产品明示标准和指标的要求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lang w:val="en-US" w:eastAsia="zh-CN"/>
        </w:rPr>
        <w:t>粮食加工品</w:t>
      </w:r>
    </w:p>
    <w:p>
      <w:pPr>
        <w:pStyle w:val="9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食品添加剂使用标准》(GB 2760-2014)等标准及产品明示标准和指标的要求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食用农产品</w:t>
      </w:r>
    </w:p>
    <w:p>
      <w:pPr>
        <w:pStyle w:val="9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食品中污染物限量》(GB 2762-2017)、《食品安全国家标准 食品中农药最大残留限量》(GB 2763-2019)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、《发布在食品动物中停止使用洛美沙星、培氟沙星、 氧氟沙星、诺氟沙星 4 种兽药的决定》(农业部公告第 2292号)、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《动物性食品中兽药最高残留限量》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中华人民共和国农业部公告第235号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）、《食品动物中禁 止使用的药品及其他化合物清单》(中华人民共和国农业农村部公告 第250号)、《兽药地方标准废止目录》(农业部公告第 560号)、《食品安全国家标准 食品中兽药最大残留限量》(GB 31650-2019)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600" w:lineRule="exact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</w:p>
    <w:p>
      <w:pPr>
        <w:pStyle w:val="9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pStyle w:val="9"/>
        <w:numPr>
          <w:ilvl w:val="0"/>
          <w:numId w:val="0"/>
        </w:numPr>
        <w:spacing w:line="600" w:lineRule="exact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lang w:eastAsia="zh-CN"/>
        </w:rPr>
      </w:pPr>
    </w:p>
    <w:p>
      <w:pPr>
        <w:pStyle w:val="9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检验项目的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说明</w:t>
      </w:r>
    </w:p>
    <w:p>
      <w:pPr>
        <w:pStyle w:val="9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恩诺沙星</w:t>
      </w:r>
    </w:p>
    <w:p>
      <w:pPr>
        <w:pStyle w:val="9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  <w:t>恩诺沙星，又名恩氟奎林羧酸，属于氟喹诺酮类药物，化学合成广谱抑菌剂，在预防和治疗畜禽的细菌性感染及支原体病方面有良好效果。农业部公告第 235 号《动物性食品中兽药最高残留限量》规定该类药物在鱼类肌肉中的最大残留限量为 100μg/kg（以恩诺沙星+环丙沙星之和计）。</w:t>
      </w:r>
    </w:p>
    <w:p>
      <w:pPr>
        <w:pStyle w:val="9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氟苯尼考</w:t>
      </w:r>
    </w:p>
    <w:p>
      <w:pPr>
        <w:spacing w:line="560" w:lineRule="exact"/>
        <w:ind w:firstLine="640" w:firstLineChars="200"/>
        <w:jc w:val="left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氟苯尼考为广谱抗菌药物，一般为动物专用抗菌药，自研究成功以后立即得到广泛应用。一般由于饲料添加或者家禽疾病治疗导致残留积累在家禽体内。农业部公告第 235 号《动物性食品中兽药最高残留限量》对其作了严格的限定：产蛋鸡禁用。</w:t>
      </w:r>
    </w:p>
    <w:p>
      <w:pPr>
        <w:pStyle w:val="9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镉(以Cd计)</w:t>
      </w:r>
    </w:p>
    <w:p>
      <w:pPr>
        <w:spacing w:line="560" w:lineRule="exact"/>
        <w:ind w:firstLine="640" w:firstLineChars="200"/>
        <w:jc w:val="left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镉均属于重金属污染物，会在水体生物，如鱼类、浮游动物等体内积累富集，并且对它们产生毒性危害风险。本次抽检重金属铅、镉超标的原因可能是因为水体、环境等遭受重金属污染，继而在水产动物体内富集而导致。</w:t>
      </w:r>
    </w:p>
    <w:p>
      <w:pPr>
        <w:pStyle w:val="9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克百威</w:t>
      </w:r>
    </w:p>
    <w:p>
      <w:pPr>
        <w:spacing w:line="560" w:lineRule="exact"/>
        <w:ind w:firstLine="640" w:firstLineChars="200"/>
        <w:jc w:val="left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克百威，又名呋喃丹，是一种广谱性杀虫、杀螨、杀线虫剂，不仅具有触杀、胃毒作用，并具有很强的内吸活性。农业部第 199 号公告明确规定克百威不得用于蔬菜、果树、茶叶、中草药材上。</w:t>
      </w:r>
    </w:p>
    <w:p>
      <w:pPr>
        <w:pStyle w:val="9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氯氟氰菊酯和高效氯氟氰菊酯</w:t>
      </w:r>
    </w:p>
    <w:p>
      <w:pPr>
        <w:spacing w:line="560" w:lineRule="exact"/>
        <w:ind w:firstLine="640" w:firstLineChars="200"/>
        <w:jc w:val="left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氯氟氰菊酯，是广谱型杀虫剂，在试验剂量内对动物无致畸、致突变、致癌作用。高效氯氟氰菊酯又叫三氟氯氟氰菊酯、功夫菊酯。它的药效特点，抑制昆虫神经轴突部位的传导，对昆虫具有趋避、击倒及毒杀的作用，杀虫谱广，活性较高，药效迅速，喷洒后耐雨水冲刷，但长期使用易对其产生抗性，对刺吸式口器的害虫及害螨有一定防效，作用机理与氰戊菊酯、氟氰菊酯相同。不合格原因主要是种植过程中违规使用。</w:t>
      </w:r>
    </w:p>
    <w:p>
      <w:pPr>
        <w:pStyle w:val="9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氯霉素</w:t>
      </w:r>
    </w:p>
    <w:p>
      <w:pPr>
        <w:spacing w:line="560" w:lineRule="exact"/>
        <w:ind w:firstLine="640" w:firstLineChars="200"/>
        <w:jc w:val="left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氯霉素是一种抑菌性广谱抗生素，因其抗菌效果好，曾长期在国内外应用于水产养殖业。《动物性食品中兽药最高残留限量》（农业部 235 公告）中将氯霉素列入禁止使用且不得在动物性食品中检出的药物。</w:t>
      </w:r>
    </w:p>
    <w:p>
      <w:pPr>
        <w:pStyle w:val="9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灭蝇胺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灭蝇胺是一种昆虫生长调节剂类低毒杀虫剂，有非常强的选择性，主要对双翅目昆虫有活性。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灭蝇胺适用于多种瓜果蔬菜，主要对"蝇类"害虫具有良好的杀虫作用。目前瓜果蔬菜生产中主要用于防治:各种瓜果类、茄果类、豆类及多种叶菜类蔬菜的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美洲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斑潜蝇、南美斑潜蝇、豆杆黑潜蝇、葱斑潜叶蝇、三叶斑潜蝇等多种潜叶蝇，韭菜及葱、蒜的根蛆(韭菜赤眼草蚊)等。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灭蝇胺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持效期较长，但作用速度较慢。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DDE65"/>
    <w:multiLevelType w:val="singleLevel"/>
    <w:tmpl w:val="952DDE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A552E"/>
    <w:multiLevelType w:val="singleLevel"/>
    <w:tmpl w:val="177A55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9A4B05"/>
    <w:multiLevelType w:val="singleLevel"/>
    <w:tmpl w:val="7E9A4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6EFA"/>
    <w:rsid w:val="004B6EFA"/>
    <w:rsid w:val="00820F31"/>
    <w:rsid w:val="00824259"/>
    <w:rsid w:val="009A15EF"/>
    <w:rsid w:val="00B67A85"/>
    <w:rsid w:val="00D57D1B"/>
    <w:rsid w:val="00F421C8"/>
    <w:rsid w:val="02276CB5"/>
    <w:rsid w:val="03B054BA"/>
    <w:rsid w:val="03F06EAD"/>
    <w:rsid w:val="050D6EC3"/>
    <w:rsid w:val="078602F3"/>
    <w:rsid w:val="090604A3"/>
    <w:rsid w:val="0A5020B4"/>
    <w:rsid w:val="0BFE7616"/>
    <w:rsid w:val="0C1667AC"/>
    <w:rsid w:val="0C385C19"/>
    <w:rsid w:val="0CEF6768"/>
    <w:rsid w:val="0D2B2324"/>
    <w:rsid w:val="104B7313"/>
    <w:rsid w:val="139C76A1"/>
    <w:rsid w:val="145F0D0D"/>
    <w:rsid w:val="156B7E6D"/>
    <w:rsid w:val="15886BAB"/>
    <w:rsid w:val="15C74A14"/>
    <w:rsid w:val="16627B1C"/>
    <w:rsid w:val="17177BD8"/>
    <w:rsid w:val="171F060D"/>
    <w:rsid w:val="17EF416E"/>
    <w:rsid w:val="18451B3F"/>
    <w:rsid w:val="195B4923"/>
    <w:rsid w:val="19FE57A3"/>
    <w:rsid w:val="1A9E3EB9"/>
    <w:rsid w:val="1DF10696"/>
    <w:rsid w:val="1EFF100B"/>
    <w:rsid w:val="21CC1456"/>
    <w:rsid w:val="22550787"/>
    <w:rsid w:val="23E55A70"/>
    <w:rsid w:val="25137D68"/>
    <w:rsid w:val="263C6EBE"/>
    <w:rsid w:val="284A5BF2"/>
    <w:rsid w:val="29DF02C5"/>
    <w:rsid w:val="2A277FBA"/>
    <w:rsid w:val="2B461F65"/>
    <w:rsid w:val="2B536F21"/>
    <w:rsid w:val="2C516F87"/>
    <w:rsid w:val="2C753719"/>
    <w:rsid w:val="2D231FEB"/>
    <w:rsid w:val="2D66027E"/>
    <w:rsid w:val="2FD10C3E"/>
    <w:rsid w:val="305B4673"/>
    <w:rsid w:val="30CE09BD"/>
    <w:rsid w:val="31C6061F"/>
    <w:rsid w:val="325564AA"/>
    <w:rsid w:val="32DD00BD"/>
    <w:rsid w:val="337317F3"/>
    <w:rsid w:val="343524B2"/>
    <w:rsid w:val="34984755"/>
    <w:rsid w:val="379573AA"/>
    <w:rsid w:val="386B654E"/>
    <w:rsid w:val="391352A9"/>
    <w:rsid w:val="3ADD2861"/>
    <w:rsid w:val="3AFA4815"/>
    <w:rsid w:val="3D297853"/>
    <w:rsid w:val="3FAA1280"/>
    <w:rsid w:val="40B04F93"/>
    <w:rsid w:val="415428C2"/>
    <w:rsid w:val="423B28CA"/>
    <w:rsid w:val="428D21EB"/>
    <w:rsid w:val="4452544F"/>
    <w:rsid w:val="45D17096"/>
    <w:rsid w:val="46B032DF"/>
    <w:rsid w:val="481530FA"/>
    <w:rsid w:val="49A67CE8"/>
    <w:rsid w:val="4B911789"/>
    <w:rsid w:val="4CC14FB3"/>
    <w:rsid w:val="4D94490D"/>
    <w:rsid w:val="4DAD2FA1"/>
    <w:rsid w:val="4DDB6E2C"/>
    <w:rsid w:val="4E9C06D0"/>
    <w:rsid w:val="51C0523D"/>
    <w:rsid w:val="520E4E41"/>
    <w:rsid w:val="58D27289"/>
    <w:rsid w:val="58EF2A7D"/>
    <w:rsid w:val="5A50498B"/>
    <w:rsid w:val="5C77642F"/>
    <w:rsid w:val="5CED668D"/>
    <w:rsid w:val="5E751D15"/>
    <w:rsid w:val="5F1D6839"/>
    <w:rsid w:val="60CF2535"/>
    <w:rsid w:val="68932D56"/>
    <w:rsid w:val="68B26099"/>
    <w:rsid w:val="697C6D68"/>
    <w:rsid w:val="6B4C4B7D"/>
    <w:rsid w:val="6B5F69B6"/>
    <w:rsid w:val="6EF66C78"/>
    <w:rsid w:val="6FF2151A"/>
    <w:rsid w:val="706D666D"/>
    <w:rsid w:val="71894BD7"/>
    <w:rsid w:val="726258D5"/>
    <w:rsid w:val="73B232F5"/>
    <w:rsid w:val="74994EC2"/>
    <w:rsid w:val="74EF7DD6"/>
    <w:rsid w:val="757B108B"/>
    <w:rsid w:val="757B7956"/>
    <w:rsid w:val="77B41AFA"/>
    <w:rsid w:val="77DD7782"/>
    <w:rsid w:val="794F6A88"/>
    <w:rsid w:val="79871452"/>
    <w:rsid w:val="7B6A0503"/>
    <w:rsid w:val="7B802328"/>
    <w:rsid w:val="7BCD75A4"/>
    <w:rsid w:val="7D212BFB"/>
    <w:rsid w:val="7E3539E2"/>
    <w:rsid w:val="7F023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黎佩珊</cp:lastModifiedBy>
  <dcterms:modified xsi:type="dcterms:W3CDTF">2022-04-08T03:11:28Z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