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宋体" w:hAnsi="宋体"/>
          <w:sz w:val="32"/>
          <w:szCs w:val="32"/>
        </w:rPr>
      </w:pPr>
      <w:r>
        <w:rPr>
          <w:rFonts w:hint="eastAsia" w:ascii="宋体" w:hAnsi="宋体"/>
          <w:sz w:val="32"/>
          <w:szCs w:val="32"/>
        </w:rPr>
        <w:t>附件4</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关于部分检验项目的说明</w:t>
      </w:r>
    </w:p>
    <w:p>
      <w:pPr>
        <w:spacing w:line="600" w:lineRule="exact"/>
        <w:ind w:firstLine="643" w:firstLineChars="200"/>
        <w:rPr>
          <w:rFonts w:ascii="仿宋_GB2312" w:hAnsi="Times New Roman" w:eastAsia="仿宋_GB2312"/>
          <w:b/>
          <w:sz w:val="32"/>
          <w:szCs w:val="32"/>
        </w:rPr>
      </w:pPr>
    </w:p>
    <w:p>
      <w:pPr>
        <w:spacing w:line="560" w:lineRule="exac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lang w:val="en-US" w:eastAsia="zh-CN"/>
        </w:rPr>
        <w:t>一、</w:t>
      </w:r>
      <w:r>
        <w:rPr>
          <w:rFonts w:hint="eastAsia" w:ascii="仿宋_GB2312" w:hAnsi="宋体" w:eastAsia="仿宋_GB2312"/>
          <w:sz w:val="32"/>
          <w:szCs w:val="32"/>
        </w:rPr>
        <w:t>4-氯苯氧乙酸钠（以4-氯苯氧乙酸计）</w:t>
      </w:r>
    </w:p>
    <w:p>
      <w:pPr>
        <w:spacing w:line="560" w:lineRule="exact"/>
        <w:ind w:firstLine="640" w:firstLineChars="200"/>
        <w:jc w:val="left"/>
        <w:rPr>
          <w:rFonts w:hint="eastAsia" w:ascii="仿宋_GB2312" w:hAnsi="宋体" w:eastAsia="仿宋_GB2312"/>
          <w:sz w:val="32"/>
          <w:szCs w:val="32"/>
        </w:rPr>
      </w:pPr>
      <w:r>
        <w:rPr>
          <w:rFonts w:hint="eastAsia" w:ascii="仿宋" w:hAnsi="仿宋" w:eastAsia="仿宋" w:cs="仿宋"/>
          <w:sz w:val="32"/>
          <w:szCs w:val="32"/>
          <w:lang w:val="zh-CN" w:eastAsia="zh-CN" w:bidi="zh-CN"/>
        </w:rPr>
        <w:t>4-氯苯氧乙酸钠，是一种植物生长调节剂。主要用于防止落花落果、抑制豆类生根等，并能调节植物株内激素的平衡。豆芽中检出 4-氯苯氧乙酸钠可能是由于豆芽生产商在生产过程中为了抑制豆芽生根，提高豆芽产量而违规使用。原国家食品药品监督管理总局、农业部、国家卫生和计划生育委员会关于豆芽生产过程中禁止使用 6-苄基腺嘌呤等物质的公告年第 11 号）规定豆芽生产经营过程中禁止使用 4-氯苯氧乙酸钠。</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二、6-苄基腺嘌呤酸钠</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 w:hAnsi="仿宋" w:eastAsia="仿宋" w:cs="仿宋"/>
          <w:sz w:val="32"/>
          <w:szCs w:val="32"/>
          <w:lang w:val="zh-CN" w:eastAsia="zh-CN" w:bidi="zh-CN"/>
        </w:rPr>
        <w:t>6-苄基腺嘌呤是一种广泛使用的添加于植物生长培养基的细胞分裂素，具有抑制植物叶内叶绿素、核酸、蛋白质的分解，保绿防老;将氨基酸、生长素、无机盐等向处理部位调运等多种效能，广泛用在农业、果树和园艺作物从发芽到收获的各个阶段。国家食品药品监督管理总局 农业部 国家卫生和计划生育委员会发布关于豆芽生产过程中禁止使用6-苄基腺嘌呤等物质的公告(2015年第11号)，公告内容:6-苄基腺嘌呤、4-氯苯氧乙酸钠、赤霉素等物质作为低毒农药登记管理并限定了使用范围，豆芽生产不在可使用范围之列，且目前豆芽生产过程中使用上述物质的安全性尚无结论。为确保豆芽食用安全，生产者及豆芽经营不得生产/经营含6-苄基腺嘌呤、4-氯苯氧乙酸钠、赤霉素等物质，豆芽经营者不得经营含有6-苄基腺嘌呤、4-氯苯氧乙酸钠、赤霉素等物质的豆芽。</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恩诺沙星(以恩诺沙星与环丙沙星之和计)</w:t>
      </w:r>
    </w:p>
    <w:p>
      <w:pPr>
        <w:spacing w:line="560" w:lineRule="exact"/>
        <w:ind w:firstLine="640" w:firstLineChars="200"/>
        <w:jc w:val="left"/>
        <w:rPr>
          <w:rFonts w:hint="eastAsia" w:ascii="仿宋" w:hAnsi="仿宋" w:eastAsia="仿宋" w:cs="仿宋"/>
          <w:sz w:val="32"/>
          <w:szCs w:val="32"/>
          <w:lang w:val="en-US" w:eastAsia="zh-CN" w:bidi="zh-CN"/>
        </w:rPr>
      </w:pPr>
      <w:r>
        <w:rPr>
          <w:rFonts w:hint="eastAsia" w:ascii="仿宋" w:hAnsi="仿宋" w:eastAsia="仿宋" w:cs="仿宋"/>
          <w:sz w:val="32"/>
          <w:szCs w:val="32"/>
          <w:lang w:val="zh-CN" w:eastAsia="zh-CN" w:bidi="zh-CN"/>
        </w:rPr>
        <w:t>恩诺沙星，又名恩氟奎林羧酸，属于氟喹诺酮类药物，化学合成广谱抑菌剂，在预防和治疗畜禽的细菌性感染及支原体病方面有良好效果。农业部公告第 235 号《动物性食品中兽药最高残留限量》规定该类药物在鱼类肌肉中的最大残留限量为 100μg/kg（以恩诺沙星+环丙沙星之和计）。</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呋喃唑酮代谢物（AOZ)</w:t>
      </w:r>
    </w:p>
    <w:p>
      <w:pPr>
        <w:spacing w:line="560" w:lineRule="exact"/>
        <w:ind w:firstLine="640" w:firstLineChars="200"/>
        <w:jc w:val="left"/>
        <w:rPr>
          <w:rFonts w:hint="eastAsia" w:ascii="仿宋" w:hAnsi="仿宋" w:eastAsia="仿宋" w:cs="仿宋"/>
          <w:sz w:val="32"/>
          <w:szCs w:val="32"/>
          <w:lang w:val="en-US" w:eastAsia="zh-CN" w:bidi="zh-CN"/>
        </w:rPr>
      </w:pPr>
      <w:r>
        <w:rPr>
          <w:rFonts w:hint="eastAsia" w:ascii="仿宋" w:hAnsi="仿宋" w:eastAsia="仿宋" w:cs="仿宋"/>
          <w:sz w:val="32"/>
          <w:szCs w:val="32"/>
          <w:lang w:val="zh-CN" w:eastAsia="zh-CN" w:bidi="zh-CN"/>
        </w:rPr>
        <w:t>硝基呋喃类药物（呋喃它酮、呋喃唑酮、呋喃妥因、呋喃西林）是广谱抗生素，农业部规定该类药物为“禁止使用的药物，在动物性食品中不得检出”。</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氟苯尼考</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 w:hAnsi="仿宋" w:eastAsia="仿宋" w:cs="仿宋"/>
          <w:sz w:val="32"/>
          <w:szCs w:val="32"/>
          <w:lang w:val="zh-CN" w:eastAsia="zh-CN" w:bidi="zh-CN"/>
        </w:rPr>
        <w:t>氟苯尼考为广谱抗菌药物，一般为动物专用抗菌药，自研究成功以后立即得到广泛应用。一般由于饲料添加或者家禽疾病治疗导致残留积累在家禽体内。农业部公告第 235 号《动物性食品中兽药最高残留限量》对其作了严格的限定：产蛋鸡禁用。</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镉(以Cd计)</w:t>
      </w:r>
    </w:p>
    <w:p>
      <w:pPr>
        <w:spacing w:line="560" w:lineRule="exact"/>
        <w:ind w:firstLine="640" w:firstLineChars="200"/>
        <w:jc w:val="left"/>
        <w:rPr>
          <w:rFonts w:hint="eastAsia" w:ascii="仿宋" w:hAnsi="仿宋" w:eastAsia="仿宋" w:cs="仿宋"/>
          <w:sz w:val="32"/>
          <w:szCs w:val="32"/>
          <w:lang w:val="en-US" w:eastAsia="zh-CN" w:bidi="zh-CN"/>
        </w:rPr>
      </w:pPr>
      <w:r>
        <w:rPr>
          <w:rFonts w:hint="eastAsia" w:ascii="仿宋" w:hAnsi="仿宋" w:eastAsia="仿宋" w:cs="仿宋"/>
          <w:sz w:val="32"/>
          <w:szCs w:val="32"/>
          <w:lang w:val="zh-CN" w:eastAsia="zh-CN" w:bidi="zh-CN"/>
        </w:rPr>
        <w:t>镉均属于重金属污染物，会在水体生物，如鱼类、浮游动物等体内积累富集，并且对它们产生毒性危害风险。本次抽检重金属铅、镉超标的原因可能是因为水体、环境等遭受重金属污染，继而在水产动物体内富集而导致。</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克百威</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 w:hAnsi="仿宋" w:eastAsia="仿宋" w:cs="仿宋"/>
          <w:sz w:val="32"/>
          <w:szCs w:val="32"/>
          <w:lang w:val="zh-CN" w:eastAsia="zh-CN" w:bidi="zh-CN"/>
        </w:rPr>
        <w:t>克百威，又名呋喃丹，是一种广谱性杀虫、杀螨、杀线虫剂，不仅具有触杀、胃毒作用，并具有很强的内吸活性。农业部第 199 号公告明确规定克百威不得用于蔬菜、果树、茶叶、中草药材上。</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孔雀石绿</w:t>
      </w:r>
    </w:p>
    <w:p>
      <w:pPr>
        <w:spacing w:line="560" w:lineRule="exact"/>
        <w:ind w:firstLine="640" w:firstLineChars="200"/>
        <w:jc w:val="left"/>
        <w:rPr>
          <w:rFonts w:hint="eastAsia" w:ascii="仿宋" w:hAnsi="仿宋" w:eastAsia="仿宋" w:cs="仿宋"/>
          <w:sz w:val="32"/>
          <w:szCs w:val="32"/>
          <w:highlight w:val="none"/>
          <w:lang w:val="zh-CN" w:eastAsia="zh-CN" w:bidi="zh-CN"/>
        </w:rPr>
      </w:pPr>
      <w:r>
        <w:rPr>
          <w:rFonts w:hint="eastAsia" w:ascii="仿宋" w:hAnsi="仿宋" w:eastAsia="仿宋" w:cs="仿宋"/>
          <w:sz w:val="32"/>
          <w:szCs w:val="32"/>
          <w:highlight w:val="none"/>
          <w:lang w:val="zh-CN" w:eastAsia="zh-CN" w:bidi="zh-CN"/>
        </w:rPr>
        <w:t>孔雀石绿是一种带有金属光泽的绿色结晶体，又名碱性绿、严基块绿、孔雀绿，它既是杀真菌剂，又是染料，易溶于水，溶液呈蓝绿色，广泛用于真丝、羊毛、皮革、麻制品、陶瓷制品、棉布等的染色。孔雀石绿很早曾经作为杀菌剂、杀虫剂、消毒剂用于水产养殖业。长期以来，渔民都用它来预防鱼的水霉病、鳃霉病、小瓜虫病等，而且为了使鳞受损的鱼延长生命，在运输过程中和存放池内，也常使用孔雀石绿。许多国家都将孔雀石绿列为水产养殖禁用药物（观赏鱼除外），我国也将孔雀石绿列为禁用药物（《中华人民共和国农业部公告第235号》）。</w:t>
      </w:r>
    </w:p>
    <w:p>
      <w:pPr>
        <w:numPr>
          <w:ilvl w:val="0"/>
          <w:numId w:val="1"/>
        </w:numPr>
        <w:spacing w:line="560" w:lineRule="exact"/>
        <w:ind w:firstLine="640" w:firstLineChars="200"/>
        <w:jc w:val="left"/>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氯霉素</w:t>
      </w:r>
    </w:p>
    <w:p>
      <w:pPr>
        <w:spacing w:line="560" w:lineRule="exact"/>
        <w:ind w:firstLine="640" w:firstLineChars="200"/>
        <w:jc w:val="left"/>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氯霉素属抑菌性广谱抗生素。敏感菌有肠杆菌科细菌及炭疽杆菌、肺炎球菌、链球菌、李斯特氏菌等。衣原体、钩端螺旋体、立克次体也对其敏感。因其抗菌效果好，曾长期在国内外应用于水产养殖业。《动物性食品中兽药最高残留限量》（农业部 235 公告）中将氯霉素列入禁止使用且不得在动物性食品中检出的药物。</w:t>
      </w:r>
    </w:p>
    <w:p>
      <w:pPr>
        <w:spacing w:line="560" w:lineRule="exact"/>
        <w:ind w:firstLine="640" w:firstLineChars="200"/>
        <w:jc w:val="left"/>
        <w:rPr>
          <w:rFonts w:hint="eastAsia" w:ascii="仿宋" w:hAnsi="仿宋" w:eastAsia="仿宋" w:cs="仿宋"/>
          <w:sz w:val="32"/>
          <w:szCs w:val="32"/>
          <w:lang w:val="en-US" w:eastAsia="zh-CN" w:bidi="zh-CN"/>
        </w:rPr>
      </w:pP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灭蝇胺</w:t>
      </w:r>
    </w:p>
    <w:p>
      <w:pPr>
        <w:spacing w:line="560" w:lineRule="exact"/>
        <w:ind w:firstLine="640" w:firstLineChars="200"/>
        <w:jc w:val="left"/>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灭蝇胺是一种昆虫生长调节剂类低毒杀虫剂，有非常强的选择性，主要对双翅目昆虫有活性。</w:t>
      </w:r>
      <w:r>
        <w:rPr>
          <w:rFonts w:hint="eastAsia" w:ascii="仿宋" w:hAnsi="仿宋" w:eastAsia="仿宋" w:cs="仿宋"/>
          <w:sz w:val="32"/>
          <w:szCs w:val="32"/>
          <w:lang w:val="zh-CN" w:eastAsia="zh-CN" w:bidi="zh-CN"/>
        </w:rPr>
        <w:t>灭蝇胺适用于多种瓜果蔬菜，主要对"蝇类"害虫具有良好的杀虫作用。目前瓜果蔬菜生产中主要用于防治:各种瓜果类、茄果类、豆类及多种叶菜类蔬菜的</w:t>
      </w:r>
      <w:r>
        <w:rPr>
          <w:rFonts w:hint="eastAsia" w:ascii="仿宋" w:hAnsi="仿宋" w:eastAsia="仿宋" w:cs="仿宋"/>
          <w:sz w:val="32"/>
          <w:szCs w:val="32"/>
          <w:lang w:val="en-US" w:eastAsia="zh-CN" w:bidi="zh-CN"/>
        </w:rPr>
        <w:t>美洲</w:t>
      </w:r>
      <w:bookmarkStart w:id="1" w:name="_GoBack"/>
      <w:bookmarkEnd w:id="1"/>
      <w:r>
        <w:rPr>
          <w:rFonts w:hint="eastAsia" w:ascii="仿宋" w:hAnsi="仿宋" w:eastAsia="仿宋" w:cs="仿宋"/>
          <w:sz w:val="32"/>
          <w:szCs w:val="32"/>
          <w:lang w:val="zh-CN" w:eastAsia="zh-CN" w:bidi="zh-CN"/>
        </w:rPr>
        <w:t>斑潜蝇、南美斑潜蝇、豆杆黑潜蝇、葱斑潜叶蝇、三叶斑潜蝇等多种潜叶蝇，韭菜及葱、蒜的根蛆(韭菜赤眼草蚊)等。</w:t>
      </w:r>
      <w:r>
        <w:rPr>
          <w:rFonts w:hint="eastAsia" w:ascii="仿宋" w:hAnsi="仿宋" w:eastAsia="仿宋" w:cs="仿宋"/>
          <w:sz w:val="32"/>
          <w:szCs w:val="32"/>
          <w:lang w:val="en-US" w:eastAsia="zh-CN" w:bidi="zh-CN"/>
        </w:rPr>
        <w:t>灭蝇胺</w:t>
      </w:r>
      <w:r>
        <w:rPr>
          <w:rFonts w:hint="eastAsia" w:ascii="仿宋" w:hAnsi="仿宋" w:eastAsia="仿宋" w:cs="仿宋"/>
          <w:sz w:val="32"/>
          <w:szCs w:val="32"/>
          <w:lang w:val="zh-CN" w:eastAsia="zh-CN" w:bidi="zh-CN"/>
        </w:rPr>
        <w:t>持效期较长，但作用速度较慢，是一种高效、低毒生态农药。</w:t>
      </w:r>
      <w:bookmarkStart w:id="0" w:name="4.12氟虫腈"/>
      <w:bookmarkEnd w:id="0"/>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氧氟沙星</w:t>
      </w:r>
    </w:p>
    <w:p>
      <w:pPr>
        <w:spacing w:line="560" w:lineRule="exact"/>
        <w:ind w:firstLine="640" w:firstLineChars="200"/>
        <w:jc w:val="left"/>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氧氟沙星属于氟喹诺酮类药物，主要用于上述革兰阴性菌所致的呼吸道、咽喉、扁桃体、泌尿道（包括前列腺）、皮肤及软组织、胆囊及胆管、中耳、鼻窦、泪囊、肠道等部位的急、慢性感染。因抗菌谱广、抗菌活性强等曾被广泛用于畜禽细菌性疾病的治疗和预防。抽检产品不合格的原因可能是经营者由于降低养殖水产品的患病率，从而投喂含氧氟沙星的药物，从而提高产量。</w:t>
      </w:r>
    </w:p>
    <w:p>
      <w:pPr>
        <w:spacing w:line="560" w:lineRule="exact"/>
        <w:ind w:firstLine="640" w:firstLineChars="200"/>
        <w:jc w:val="left"/>
        <w:rPr>
          <w:rFonts w:hint="eastAsia" w:ascii="仿宋_GB2312" w:hAnsi="宋体" w:eastAsia="仿宋_GB2312"/>
          <w:sz w:val="32"/>
          <w:szCs w:val="32"/>
          <w:lang w:val="en-US" w:eastAsia="zh-CN"/>
        </w:rPr>
      </w:pPr>
    </w:p>
    <w:p>
      <w:pPr>
        <w:numPr>
          <w:ilvl w:val="0"/>
          <w:numId w:val="0"/>
        </w:numPr>
        <w:spacing w:line="560" w:lineRule="exact"/>
        <w:ind w:leftChars="200"/>
        <w:jc w:val="left"/>
        <w:rPr>
          <w:rFonts w:hint="default" w:ascii="仿宋_GB2312" w:hAnsi="宋体" w:eastAsia="仿宋_GB2312"/>
          <w:sz w:val="32"/>
          <w:szCs w:val="32"/>
          <w:lang w:val="en-US" w:eastAsia="zh-CN"/>
        </w:rPr>
      </w:pPr>
    </w:p>
    <w:p>
      <w:pPr>
        <w:numPr>
          <w:ilvl w:val="0"/>
          <w:numId w:val="0"/>
        </w:numPr>
        <w:spacing w:line="560" w:lineRule="exact"/>
        <w:ind w:leftChars="200"/>
        <w:jc w:val="left"/>
        <w:rPr>
          <w:rFonts w:hint="default" w:ascii="仿宋" w:hAnsi="仿宋" w:eastAsia="仿宋" w:cs="仿宋"/>
          <w:sz w:val="32"/>
          <w:szCs w:val="32"/>
          <w:lang w:val="en-US" w:eastAsia="zh-CN" w:bidi="zh-CN"/>
        </w:rPr>
      </w:pPr>
    </w:p>
    <w:p>
      <w:pPr>
        <w:numPr>
          <w:ilvl w:val="0"/>
          <w:numId w:val="0"/>
        </w:numPr>
        <w:spacing w:line="600" w:lineRule="exact"/>
        <w:ind w:leftChars="-300"/>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173D5A"/>
    <w:multiLevelType w:val="singleLevel"/>
    <w:tmpl w:val="4A173D5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B6EFA"/>
    <w:rsid w:val="004B6EFA"/>
    <w:rsid w:val="00820F31"/>
    <w:rsid w:val="00824259"/>
    <w:rsid w:val="009A15EF"/>
    <w:rsid w:val="00B67A85"/>
    <w:rsid w:val="00D57D1B"/>
    <w:rsid w:val="00F421C8"/>
    <w:rsid w:val="02276CB5"/>
    <w:rsid w:val="0265445D"/>
    <w:rsid w:val="032F1BD0"/>
    <w:rsid w:val="03F06EAD"/>
    <w:rsid w:val="04995715"/>
    <w:rsid w:val="06166F25"/>
    <w:rsid w:val="090604A3"/>
    <w:rsid w:val="0B41701C"/>
    <w:rsid w:val="0BFE7616"/>
    <w:rsid w:val="0D2B2324"/>
    <w:rsid w:val="0F8C4D73"/>
    <w:rsid w:val="104B7313"/>
    <w:rsid w:val="1115458C"/>
    <w:rsid w:val="12676EF4"/>
    <w:rsid w:val="145F0D0D"/>
    <w:rsid w:val="15886BAB"/>
    <w:rsid w:val="15C74A14"/>
    <w:rsid w:val="15E05BDE"/>
    <w:rsid w:val="16627B1C"/>
    <w:rsid w:val="16ED27BE"/>
    <w:rsid w:val="17EF416E"/>
    <w:rsid w:val="18451B3F"/>
    <w:rsid w:val="191B37B6"/>
    <w:rsid w:val="195B4923"/>
    <w:rsid w:val="19AB48BF"/>
    <w:rsid w:val="19FE57A3"/>
    <w:rsid w:val="1D365CAD"/>
    <w:rsid w:val="1DF10696"/>
    <w:rsid w:val="1EFF100B"/>
    <w:rsid w:val="1F143BDF"/>
    <w:rsid w:val="20953BFE"/>
    <w:rsid w:val="22550787"/>
    <w:rsid w:val="2428655D"/>
    <w:rsid w:val="25137D68"/>
    <w:rsid w:val="27881807"/>
    <w:rsid w:val="284A5BF2"/>
    <w:rsid w:val="29DF02C5"/>
    <w:rsid w:val="2B3865CA"/>
    <w:rsid w:val="2B461F65"/>
    <w:rsid w:val="2C516F87"/>
    <w:rsid w:val="2CFA4A14"/>
    <w:rsid w:val="2D66027E"/>
    <w:rsid w:val="2FD10C3E"/>
    <w:rsid w:val="31C6061F"/>
    <w:rsid w:val="32DD00BD"/>
    <w:rsid w:val="379573AA"/>
    <w:rsid w:val="386B654E"/>
    <w:rsid w:val="391352A9"/>
    <w:rsid w:val="39177AB8"/>
    <w:rsid w:val="39AC0602"/>
    <w:rsid w:val="3ADD2861"/>
    <w:rsid w:val="3AFA4815"/>
    <w:rsid w:val="3BB04A48"/>
    <w:rsid w:val="3BE5092E"/>
    <w:rsid w:val="3C950D1B"/>
    <w:rsid w:val="3D297853"/>
    <w:rsid w:val="40A53296"/>
    <w:rsid w:val="416F0524"/>
    <w:rsid w:val="419909F1"/>
    <w:rsid w:val="428D21EB"/>
    <w:rsid w:val="42ED38C7"/>
    <w:rsid w:val="4452544F"/>
    <w:rsid w:val="455F3EE3"/>
    <w:rsid w:val="45906F53"/>
    <w:rsid w:val="46B032DF"/>
    <w:rsid w:val="4B911789"/>
    <w:rsid w:val="4D8918B8"/>
    <w:rsid w:val="4D94490D"/>
    <w:rsid w:val="4DAD2FA1"/>
    <w:rsid w:val="4E9C06D0"/>
    <w:rsid w:val="500B1B7E"/>
    <w:rsid w:val="520E4E41"/>
    <w:rsid w:val="54CA7552"/>
    <w:rsid w:val="57E06674"/>
    <w:rsid w:val="58D27289"/>
    <w:rsid w:val="58EF2A7D"/>
    <w:rsid w:val="59CE0A11"/>
    <w:rsid w:val="5A65613B"/>
    <w:rsid w:val="5C77642F"/>
    <w:rsid w:val="5CED668D"/>
    <w:rsid w:val="5D6676CF"/>
    <w:rsid w:val="5E037FBC"/>
    <w:rsid w:val="5F1D6839"/>
    <w:rsid w:val="60CF2535"/>
    <w:rsid w:val="672E238F"/>
    <w:rsid w:val="68932D56"/>
    <w:rsid w:val="68AA389F"/>
    <w:rsid w:val="697C6D68"/>
    <w:rsid w:val="69B37AD5"/>
    <w:rsid w:val="6B4C4B7D"/>
    <w:rsid w:val="6C443361"/>
    <w:rsid w:val="6EF66C78"/>
    <w:rsid w:val="6F9D577A"/>
    <w:rsid w:val="6FF2151A"/>
    <w:rsid w:val="70356DB7"/>
    <w:rsid w:val="71894BD7"/>
    <w:rsid w:val="726258D5"/>
    <w:rsid w:val="73B232F5"/>
    <w:rsid w:val="74EF7DD6"/>
    <w:rsid w:val="757B108B"/>
    <w:rsid w:val="757B7956"/>
    <w:rsid w:val="77B41AFA"/>
    <w:rsid w:val="77DD7782"/>
    <w:rsid w:val="780906E9"/>
    <w:rsid w:val="79871452"/>
    <w:rsid w:val="7B6A0503"/>
    <w:rsid w:val="7B802328"/>
    <w:rsid w:val="7BCD75A4"/>
    <w:rsid w:val="7BE42D49"/>
    <w:rsid w:val="7D212BFB"/>
    <w:rsid w:val="7E2B0C5B"/>
    <w:rsid w:val="7E3539E2"/>
    <w:rsid w:val="7F023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10"/>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标题 3 Char"/>
    <w:basedOn w:val="7"/>
    <w:link w:val="2"/>
    <w:qFormat/>
    <w:uiPriority w:val="9"/>
    <w:rPr>
      <w:rFonts w:ascii="宋体" w:hAnsi="宋体" w:eastAsia="宋体" w:cs="宋体"/>
      <w:b/>
      <w:bCs/>
      <w:kern w:val="0"/>
      <w:sz w:val="27"/>
      <w:szCs w:val="27"/>
    </w:rPr>
  </w:style>
  <w:style w:type="paragraph" w:customStyle="1" w:styleId="11">
    <w:name w:val="_Style 1"/>
    <w:basedOn w:val="1"/>
    <w:qFormat/>
    <w:uiPriority w:val="34"/>
    <w:pPr>
      <w:ind w:firstLine="420" w:firstLineChars="200"/>
    </w:pPr>
  </w:style>
  <w:style w:type="paragraph" w:customStyle="1" w:styleId="12">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Company>
  <Pages>1</Pages>
  <Words>25</Words>
  <Characters>147</Characters>
  <Lines>1</Lines>
  <Paragraphs>1</Paragraphs>
  <TotalTime>13</TotalTime>
  <ScaleCrop>false</ScaleCrop>
  <LinksUpToDate>false</LinksUpToDate>
  <CharactersWithSpaces>171</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2019-04-08T02:10:00Z</dcterms:created>
  <dc:creator>黎佩珊</dc:creator>
  <cp:lastModifiedBy>黎佩珊</cp:lastModifiedBy>
  <dcterms:modified xsi:type="dcterms:W3CDTF">2022-04-08T06:31:03Z</dcterms:modified>
  <dc:title>附件4</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