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lang w:val="en-US" w:eastAsia="zh-CN"/>
        </w:rPr>
        <w:t>一、</w:t>
      </w:r>
      <w:r>
        <w:rPr>
          <w:rFonts w:hint="eastAsia" w:ascii="仿宋_GB2312" w:hAnsi="宋体" w:eastAsia="仿宋_GB2312"/>
          <w:sz w:val="32"/>
          <w:szCs w:val="32"/>
        </w:rPr>
        <w:t>4-氯苯氧乙酸钠（以4-氯苯氧乙酸计）</w:t>
      </w:r>
    </w:p>
    <w:p>
      <w:p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lang w:val="zh-CN" w:eastAsia="zh-CN"/>
        </w:rPr>
        <w:t>4-氯苯氧乙酸钠，是一种植物生长调节剂。主要用于防止落花落果、抑制豆类生根等，并能调节植物株内激素的平衡。豆芽中检出 4-氯苯氧乙酸钠的原因可能是由于豆芽生产商在生产过程中为了抑制豆芽生根，提高豆芽产量而违规使用。原国家食品药品监督管理总局、农业部、国家卫生和计划生育委员会关于豆芽生产过程中禁止使用 6-苄基腺嘌呤等物质的公告年第 11 号）规定豆芽生产经营过程中禁止使用 4-氯苯氧乙酸钠。</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二、6-苄基腺嘌呤（6-BA）</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_GB2312" w:hAnsi="宋体" w:eastAsia="仿宋_GB2312"/>
          <w:sz w:val="32"/>
          <w:szCs w:val="32"/>
          <w:lang w:val="zh-CN" w:eastAsia="zh-CN"/>
        </w:rPr>
        <w:t>6-苄基腺嘌呤是一种广泛使用的添加于植物生长培养基的细胞分裂素，具有抑制植物叶内叶绿素、核酸、蛋白质的分解，保绿防老;将氨基酸、生长素、无机盐等向处理部位调运等多种效能，广泛用在农业、果树和园艺作物从发芽到收获的各个阶段。国家食品药品监督管理总局 农业部 国家卫生和计划生育委员会发布关于豆芽生产过程中禁止使用6-苄基腺嘌呤等物质的公告(2015年第11号)，公告内容:6-苄基腺嘌呤、4-氯苯氧乙酸钠、赤霉素等物质作为低毒农药登记管理并限定了使用范围，豆芽生产不在可使用范围之列，且目前豆芽生产过程中使用上述物质的安全性尚无结论。为确保豆芽食用安全，生产者及豆芽经营不得生产/经营含6-苄基腺嘌呤、4-氯苯氧乙酸钠、赤霉素等物质，豆芽经营者不得经营含有6-苄基腺嘌呤、4-氯苯氧乙酸钠、赤霉素等物质的豆芽。</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三、恩诺沙星（以恩诺沙星与环丙沙星之和计）</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_GB2312" w:hAnsi="宋体" w:eastAsia="仿宋_GB2312"/>
          <w:sz w:val="32"/>
          <w:szCs w:val="32"/>
          <w:lang w:val="zh-CN" w:eastAsia="zh-CN"/>
        </w:rPr>
        <w:t>恩诺沙星，又名恩氟奎林羧酸，属于氟喹诺酮类药物，化学合成广谱抑菌剂，在预防和治疗畜禽的细菌性感染及支原体病方面有良好效果。农业部公告第 235 号《动物性食品中兽药最高残留限量》规定该类药物在鱼类肌肉中的最大残留限量为 100μg/kg（以恩诺沙星+环丙沙星之和计）。</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四、呋喃唑酮代谢物</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_GB2312" w:hAnsi="宋体" w:eastAsia="仿宋_GB2312"/>
          <w:sz w:val="32"/>
          <w:szCs w:val="32"/>
          <w:lang w:val="zh-CN" w:eastAsia="zh-CN"/>
        </w:rPr>
        <w:t>硝基呋喃类药物（呋喃它酮、呋喃唑酮、呋喃妥因、呋喃西林）是广谱抗生素，农业部规定该类药物为“禁止使用的药物，在动物性食品中不得检出”。</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五、氯霉素</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氯霉素属抑菌性广谱抗生素。敏感菌有肠杆菌科细菌及炭疽杆菌、肺炎球菌、链球菌、李斯特氏菌等。衣原体、钩端螺旋体、立克次体也对其敏感。因其抗菌效果好，曾长期在国内外应用于水产养殖业。《动物性食品中兽药最高残留限量》（农业部 235 公告）中将氯霉素列入禁止使用且不得在动物性食品中检出的药物。</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六、氟苯尼考</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氟苯尼考为广谱抗菌药物，一般为动物专用抗菌药，自研究成功以后立即得到广泛应用。一般由于饲料添加或者家禽疾病治疗导致残留积累在家禽体内。农业部公告第 235 号《动物性食品中兽药最高残留限量》对其作了严格的限定：产蛋鸡禁用。</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七、金刚烷胺</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_GB2312" w:hAnsi="宋体" w:eastAsia="仿宋_GB2312"/>
          <w:sz w:val="32"/>
          <w:szCs w:val="32"/>
          <w:lang w:val="en-US" w:eastAsia="zh-CN"/>
        </w:rPr>
        <w:t>金刚烷胺又叫三环癸胺、三环葵胺、盐酸金刚烷胺。金刚烷胺对于流感病毒引起的流感疾病具有较好的疗效，畜牧养殖业中普遍应用，其主要作用机理是通过吸附作用结合于流感病毒上的M2受体蛋白，抑制病毒的复制、脱壳、感染等过程。随着养殖规模的扩大，养殖密度的增长，疫病防治方面的投入也逐渐加大。</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八、克伦特罗</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克伦特罗属于β-肾上腺素受体激动剂，曾作为饲料添加剂用于畜牧生产，以促进动物生长、提高瘦肉率及减少脂肪。《关于印发&lt;食品中可能违法添加的非食用物质和易滥用的食品添加剂名单(第四批)&gt;的通知》(整顿办函［2010］50号)中规定，克伦特罗在食用农产品（畜肉）中不得检出。</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九、铝的残留量(干样品，以Al计)</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_GB2312" w:hAnsi="宋体" w:eastAsia="仿宋_GB2312"/>
          <w:sz w:val="32"/>
          <w:szCs w:val="32"/>
          <w:lang w:val="en-US" w:eastAsia="zh-CN"/>
        </w:rPr>
        <w:t>含铝食品添加剂（比如明矾）是合法的食品添加剂，根据食品安全国家标准和相关产品标准的规定，不允许超限量或超范围使用。按标准使用不会对健康造成危害。根据国家食品安全风险评估专家委员会完成的中国居民膳食铝暴露风险评估结果，我国日常膳食中的含铝食品对一般居民健康造成不良影响的可能性不大。</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十、灭蝇胺</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灭蝇胺是一种昆虫生长调节剂类低毒杀虫剂，有非常强的选择性，主要对双翅目昆虫有活性。</w:t>
      </w:r>
      <w:r>
        <w:rPr>
          <w:rFonts w:hint="eastAsia" w:ascii="仿宋_GB2312" w:hAnsi="宋体" w:eastAsia="仿宋_GB2312"/>
          <w:sz w:val="32"/>
          <w:szCs w:val="32"/>
          <w:lang w:val="zh-CN" w:eastAsia="zh-CN"/>
        </w:rPr>
        <w:t>灭蝇胺适用于多种瓜果蔬菜，主要对"蝇类"害虫具有良好的杀虫作用。目前瓜果蔬菜生产中主要用于防治:各种瓜果类、茄果类、豆类及多种叶菜类蔬菜的</w:t>
      </w:r>
      <w:r>
        <w:rPr>
          <w:rFonts w:hint="eastAsia" w:ascii="仿宋_GB2312" w:hAnsi="宋体" w:eastAsia="仿宋_GB2312"/>
          <w:sz w:val="32"/>
          <w:szCs w:val="32"/>
          <w:lang w:val="en-US" w:eastAsia="zh-CN"/>
        </w:rPr>
        <w:t>美洲</w:t>
      </w:r>
      <w:bookmarkStart w:id="1" w:name="_GoBack"/>
      <w:bookmarkEnd w:id="1"/>
      <w:r>
        <w:rPr>
          <w:rFonts w:hint="eastAsia" w:ascii="仿宋_GB2312" w:hAnsi="宋体" w:eastAsia="仿宋_GB2312"/>
          <w:sz w:val="32"/>
          <w:szCs w:val="32"/>
          <w:lang w:val="zh-CN" w:eastAsia="zh-CN"/>
        </w:rPr>
        <w:t>斑潜蝇、南美斑潜蝇、豆杆黑潜蝇、葱斑潜叶蝇、三叶斑潜蝇等多种潜叶蝇，韭菜及葱、蒜的根蛆(韭菜赤眼草蚊)等。</w:t>
      </w:r>
      <w:r>
        <w:rPr>
          <w:rFonts w:hint="eastAsia" w:ascii="仿宋_GB2312" w:hAnsi="宋体" w:eastAsia="仿宋_GB2312"/>
          <w:sz w:val="32"/>
          <w:szCs w:val="32"/>
          <w:lang w:val="en-US" w:eastAsia="zh-CN"/>
        </w:rPr>
        <w:t>灭蝇胺</w:t>
      </w:r>
      <w:r>
        <w:rPr>
          <w:rFonts w:hint="eastAsia" w:ascii="仿宋_GB2312" w:hAnsi="宋体" w:eastAsia="仿宋_GB2312"/>
          <w:sz w:val="32"/>
          <w:szCs w:val="32"/>
          <w:lang w:val="zh-CN" w:eastAsia="zh-CN"/>
        </w:rPr>
        <w:t>持效期较长，但作用速度较慢，是一种高效、低毒生态农药。</w:t>
      </w:r>
      <w:bookmarkStart w:id="0" w:name="4.12氟虫腈"/>
      <w:bookmarkEnd w:id="0"/>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十一、水胺硫磷</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_GB2312" w:hAnsi="宋体" w:eastAsia="仿宋_GB2312"/>
          <w:sz w:val="32"/>
          <w:szCs w:val="32"/>
          <w:lang w:val="zh-CN" w:eastAsia="zh-CN"/>
        </w:rPr>
        <w:t>水胺硫磷是一种速效杀虫、杀螨剂。禁止用于果、茶、烟、菜、中草药植物上。抽检产品不合格可能是农户为了节省成本目的而违规使用在农产品上导致。</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十二、五氯酚酸钠</w:t>
      </w:r>
    </w:p>
    <w:p>
      <w:pPr>
        <w:spacing w:line="560" w:lineRule="exact"/>
        <w:ind w:firstLine="640" w:firstLineChars="200"/>
        <w:jc w:val="left"/>
        <w:rPr>
          <w:rFonts w:hint="eastAsia" w:ascii="仿宋" w:hAnsi="仿宋" w:eastAsia="仿宋" w:cs="仿宋"/>
          <w:sz w:val="32"/>
          <w:szCs w:val="32"/>
          <w:lang w:val="en-US" w:eastAsia="zh-CN" w:bidi="zh-CN"/>
        </w:rPr>
      </w:pPr>
      <w:r>
        <w:rPr>
          <w:rFonts w:hint="eastAsia" w:ascii="仿宋_GB2312" w:hAnsi="宋体" w:eastAsia="仿宋_GB2312"/>
          <w:sz w:val="32"/>
          <w:szCs w:val="32"/>
          <w:lang w:val="zh-CN" w:eastAsia="zh-CN"/>
        </w:rPr>
        <w:t>五氯酚酸钠属于有机氯农药，常被用作除草剂或者杀菌剂。养殖户还曾经把它当做杀螺剂，将五氯酚钠固体加入水中，用于消灭池塘、稻田内寄生血吸虫的宿主钉螺等。由于五氯酚酸钠易溶于水，使它极易扩散，容易造成水、土壤污染，再通过食物链作用，进入动植物体内，残留于食品中。我国农业部 2002 年发布的 235 号公告《动物性食品中兽药最高残留限量》中，将五氯酚酸钠列为违禁药物，不得在动物性食品中检出。</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十三、氧氟沙星</w:t>
      </w:r>
    </w:p>
    <w:p>
      <w:pPr>
        <w:spacing w:line="560" w:lineRule="exact"/>
        <w:ind w:firstLine="640" w:firstLineChars="200"/>
        <w:jc w:val="left"/>
        <w:rPr>
          <w:rFonts w:hint="eastAsia" w:ascii="仿宋_GB2312" w:hAnsi="宋体" w:eastAsia="仿宋_GB2312"/>
          <w:sz w:val="32"/>
          <w:szCs w:val="32"/>
          <w:lang w:val="zh-CN" w:eastAsia="zh-CN"/>
        </w:rPr>
      </w:pPr>
      <w:r>
        <w:rPr>
          <w:rFonts w:hint="eastAsia" w:ascii="仿宋_GB2312" w:hAnsi="宋体" w:eastAsia="仿宋_GB2312"/>
          <w:sz w:val="32"/>
          <w:szCs w:val="32"/>
          <w:lang w:val="zh-CN" w:eastAsia="zh-CN"/>
        </w:rPr>
        <w:t>氧氟沙星属于喹诺酮类抗生素，具有广谱抗菌作用，抗菌作用强。原农业部公告第2292号中规定，在食品动物中停止使用洛美沙星、培氟沙星、氧氟沙星、诺氟沙星4种兽药（不得检出）。样品中不合格的原因可能是养殖者在养殖或运输途中为减少或防止动物受寄生虫影响导致死亡的现象，违规使用了氧氟沙星作为杀菌剂。</w:t>
      </w:r>
    </w:p>
    <w:p>
      <w:pPr>
        <w:spacing w:line="560" w:lineRule="exact"/>
        <w:ind w:firstLine="640" w:firstLineChars="200"/>
        <w:jc w:val="left"/>
        <w:rPr>
          <w:rFonts w:hint="eastAsia" w:ascii="仿宋_GB2312" w:hAnsi="宋体" w:eastAsia="仿宋_GB2312"/>
          <w:sz w:val="32"/>
          <w:szCs w:val="32"/>
          <w:lang w:val="en-US" w:eastAsia="zh-CN"/>
        </w:rPr>
      </w:pPr>
    </w:p>
    <w:p>
      <w:pPr>
        <w:spacing w:line="560" w:lineRule="exact"/>
        <w:ind w:firstLine="640" w:firstLineChars="200"/>
        <w:jc w:val="left"/>
        <w:rPr>
          <w:rFonts w:hint="eastAsia" w:ascii="仿宋_GB2312" w:hAnsi="宋体" w:eastAsia="仿宋_GB2312"/>
          <w:sz w:val="32"/>
          <w:szCs w:val="32"/>
          <w:lang w:val="zh-CN" w:eastAsia="zh-CN"/>
        </w:rPr>
      </w:pPr>
    </w:p>
    <w:p>
      <w:pPr>
        <w:pStyle w:val="12"/>
        <w:spacing w:line="600" w:lineRule="exact"/>
        <w:ind w:firstLine="640" w:firstLineChars="200"/>
        <w:jc w:val="both"/>
        <w:rPr>
          <w:rFonts w:hint="eastAsia" w:ascii="仿宋" w:hAnsi="仿宋" w:eastAsia="仿宋" w:cs="仿宋"/>
          <w:kern w:val="2"/>
          <w:sz w:val="32"/>
          <w:szCs w:val="32"/>
        </w:rPr>
      </w:pPr>
    </w:p>
    <w:p>
      <w:pPr>
        <w:pStyle w:val="12"/>
        <w:spacing w:line="600" w:lineRule="exact"/>
        <w:ind w:firstLine="640" w:firstLineChars="200"/>
        <w:jc w:val="both"/>
        <w:rPr>
          <w:rFonts w:hint="eastAsia" w:ascii="仿宋" w:hAnsi="仿宋" w:eastAsia="仿宋" w:cs="仿宋"/>
          <w:kern w:val="2"/>
          <w:sz w:val="32"/>
          <w:szCs w:val="32"/>
        </w:rPr>
      </w:pPr>
    </w:p>
    <w:p>
      <w:pPr>
        <w:numPr>
          <w:ilvl w:val="0"/>
          <w:numId w:val="0"/>
        </w:numPr>
        <w:spacing w:line="560" w:lineRule="exact"/>
        <w:ind w:leftChars="200"/>
        <w:jc w:val="left"/>
        <w:rPr>
          <w:rFonts w:hint="default" w:ascii="仿宋_GB2312" w:hAnsi="宋体" w:eastAsia="仿宋_GB2312"/>
          <w:sz w:val="32"/>
          <w:szCs w:val="32"/>
          <w:lang w:val="en-US" w:eastAsia="zh-CN"/>
        </w:rPr>
      </w:pPr>
    </w:p>
    <w:p>
      <w:pPr>
        <w:numPr>
          <w:ilvl w:val="0"/>
          <w:numId w:val="0"/>
        </w:numPr>
        <w:spacing w:line="560" w:lineRule="exact"/>
        <w:ind w:leftChars="200"/>
        <w:jc w:val="left"/>
        <w:rPr>
          <w:rFonts w:hint="default" w:ascii="仿宋" w:hAnsi="仿宋" w:eastAsia="仿宋" w:cs="仿宋"/>
          <w:sz w:val="32"/>
          <w:szCs w:val="32"/>
          <w:lang w:val="en-US" w:eastAsia="zh-CN" w:bidi="zh-CN"/>
        </w:rPr>
      </w:pPr>
    </w:p>
    <w:p>
      <w:pPr>
        <w:numPr>
          <w:ilvl w:val="0"/>
          <w:numId w:val="0"/>
        </w:numPr>
        <w:spacing w:line="600" w:lineRule="exact"/>
        <w:ind w:leftChars="-3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37D6ABC"/>
    <w:rsid w:val="03F06EAD"/>
    <w:rsid w:val="04D363E3"/>
    <w:rsid w:val="090604A3"/>
    <w:rsid w:val="0B95228C"/>
    <w:rsid w:val="0BFE7616"/>
    <w:rsid w:val="0D2B2324"/>
    <w:rsid w:val="0D905148"/>
    <w:rsid w:val="0EFB5D67"/>
    <w:rsid w:val="104B7313"/>
    <w:rsid w:val="10C709B7"/>
    <w:rsid w:val="145F0D0D"/>
    <w:rsid w:val="14E86FE0"/>
    <w:rsid w:val="15886BAB"/>
    <w:rsid w:val="15C74A14"/>
    <w:rsid w:val="16627B1C"/>
    <w:rsid w:val="17EF416E"/>
    <w:rsid w:val="18451B3F"/>
    <w:rsid w:val="186A51D7"/>
    <w:rsid w:val="195B4923"/>
    <w:rsid w:val="19FE57A3"/>
    <w:rsid w:val="1DF10696"/>
    <w:rsid w:val="1E5D7C34"/>
    <w:rsid w:val="1EFF100B"/>
    <w:rsid w:val="22550787"/>
    <w:rsid w:val="22706BEA"/>
    <w:rsid w:val="2433428A"/>
    <w:rsid w:val="25137D68"/>
    <w:rsid w:val="26E37C39"/>
    <w:rsid w:val="284A5BF2"/>
    <w:rsid w:val="29DF02C5"/>
    <w:rsid w:val="2B2E4EDE"/>
    <w:rsid w:val="2B461F65"/>
    <w:rsid w:val="2C516F87"/>
    <w:rsid w:val="2D66027E"/>
    <w:rsid w:val="2DA93B84"/>
    <w:rsid w:val="2FD10C3E"/>
    <w:rsid w:val="31C6061F"/>
    <w:rsid w:val="32DD00BD"/>
    <w:rsid w:val="330B14DD"/>
    <w:rsid w:val="34894179"/>
    <w:rsid w:val="34F33567"/>
    <w:rsid w:val="379573AA"/>
    <w:rsid w:val="386B654E"/>
    <w:rsid w:val="38C01587"/>
    <w:rsid w:val="391352A9"/>
    <w:rsid w:val="3ADD2861"/>
    <w:rsid w:val="3AFA4815"/>
    <w:rsid w:val="3D297853"/>
    <w:rsid w:val="3E673952"/>
    <w:rsid w:val="428D21EB"/>
    <w:rsid w:val="4452544F"/>
    <w:rsid w:val="46B032DF"/>
    <w:rsid w:val="4B911789"/>
    <w:rsid w:val="4C767E79"/>
    <w:rsid w:val="4D94490D"/>
    <w:rsid w:val="4DAD2FA1"/>
    <w:rsid w:val="4DB42CCF"/>
    <w:rsid w:val="4DE33C38"/>
    <w:rsid w:val="4E9C06D0"/>
    <w:rsid w:val="509722BD"/>
    <w:rsid w:val="520E4E41"/>
    <w:rsid w:val="535E2349"/>
    <w:rsid w:val="55B87F87"/>
    <w:rsid w:val="56A21C02"/>
    <w:rsid w:val="58103746"/>
    <w:rsid w:val="58D27289"/>
    <w:rsid w:val="58EF2A7D"/>
    <w:rsid w:val="597B543F"/>
    <w:rsid w:val="5C77642F"/>
    <w:rsid w:val="5CED668D"/>
    <w:rsid w:val="5F1D6839"/>
    <w:rsid w:val="60360275"/>
    <w:rsid w:val="60CF2535"/>
    <w:rsid w:val="68932D56"/>
    <w:rsid w:val="69402E78"/>
    <w:rsid w:val="697C6D68"/>
    <w:rsid w:val="6B4C4B7D"/>
    <w:rsid w:val="6EF66C78"/>
    <w:rsid w:val="6FF2151A"/>
    <w:rsid w:val="71894BD7"/>
    <w:rsid w:val="726258D5"/>
    <w:rsid w:val="73B232F5"/>
    <w:rsid w:val="74EF7DD6"/>
    <w:rsid w:val="757B108B"/>
    <w:rsid w:val="757B7956"/>
    <w:rsid w:val="77686D12"/>
    <w:rsid w:val="77B41AFA"/>
    <w:rsid w:val="77DD7782"/>
    <w:rsid w:val="79701F65"/>
    <w:rsid w:val="79871452"/>
    <w:rsid w:val="7B075CBD"/>
    <w:rsid w:val="7B6A0503"/>
    <w:rsid w:val="7B802328"/>
    <w:rsid w:val="7BCD75A4"/>
    <w:rsid w:val="7D212BFB"/>
    <w:rsid w:val="7E3539E2"/>
    <w:rsid w:val="7F02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59</TotalTime>
  <ScaleCrop>false</ScaleCrop>
  <LinksUpToDate>false</LinksUpToDate>
  <CharactersWithSpaces>171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黎佩珊</cp:lastModifiedBy>
  <dcterms:modified xsi:type="dcterms:W3CDTF">2022-04-08T06:46:45Z</dcterms:modified>
  <dc:title>附件4</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