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sz w:val="32"/>
          <w:szCs w:val="32"/>
          <w:lang w:eastAsia="zh-CN"/>
        </w:rPr>
      </w:pPr>
      <w:r>
        <w:rPr>
          <w:rFonts w:hint="eastAsia" w:ascii="宋体" w:hAnsi="宋体"/>
          <w:sz w:val="32"/>
          <w:szCs w:val="32"/>
        </w:rPr>
        <w:t>附件</w:t>
      </w:r>
      <w:r>
        <w:rPr>
          <w:rFonts w:hint="eastAsia" w:ascii="宋体" w:hAnsi="宋体"/>
          <w:sz w:val="32"/>
          <w:szCs w:val="32"/>
          <w:lang w:val="en-US" w:eastAsia="zh-CN"/>
        </w:rPr>
        <w:t>3</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部分检验依据、项目的</w:t>
      </w:r>
      <w:r>
        <w:rPr>
          <w:rFonts w:hint="eastAsia" w:ascii="方正小标宋简体" w:eastAsia="方正小标宋简体"/>
          <w:sz w:val="44"/>
          <w:szCs w:val="44"/>
        </w:rPr>
        <w:t>说明</w:t>
      </w:r>
    </w:p>
    <w:p>
      <w:pPr>
        <w:spacing w:line="600" w:lineRule="exact"/>
        <w:ind w:firstLine="643" w:firstLineChars="200"/>
        <w:rPr>
          <w:rFonts w:ascii="仿宋_GB2312" w:hAnsi="Times New Roman" w:eastAsia="仿宋_GB2312"/>
          <w:b/>
          <w:sz w:val="32"/>
          <w:szCs w:val="32"/>
        </w:rPr>
      </w:pPr>
    </w:p>
    <w:p>
      <w:pPr>
        <w:pStyle w:val="12"/>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餐饮食品</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（一）抽检依据</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《食品安全国家标准 食品添加剂使用标准》</w:t>
      </w:r>
      <w:r>
        <w:rPr>
          <w:rFonts w:hint="eastAsia" w:hAnsi="宋体" w:eastAsia="仿宋_GB2312" w:cs="Times New Roman"/>
          <w:color w:val="auto"/>
          <w:kern w:val="2"/>
          <w:sz w:val="32"/>
          <w:szCs w:val="32"/>
          <w:highlight w:val="none"/>
          <w:lang w:val="en-US" w:eastAsia="zh-CN"/>
        </w:rPr>
        <w:t>(</w:t>
      </w:r>
      <w:r>
        <w:rPr>
          <w:rFonts w:hint="eastAsia" w:hAnsi="宋体" w:eastAsia="仿宋_GB2312" w:cs="Times New Roman"/>
          <w:color w:val="auto"/>
          <w:kern w:val="2"/>
          <w:sz w:val="32"/>
          <w:szCs w:val="32"/>
          <w:highlight w:val="none"/>
          <w:lang w:eastAsia="zh-CN"/>
        </w:rPr>
        <w:t>GB 2760-2014</w:t>
      </w:r>
      <w:r>
        <w:rPr>
          <w:rFonts w:hint="eastAsia" w:hAnsi="宋体" w:eastAsia="仿宋_GB2312" w:cs="Times New Roman"/>
          <w:color w:val="auto"/>
          <w:kern w:val="2"/>
          <w:sz w:val="32"/>
          <w:szCs w:val="32"/>
          <w:highlight w:val="none"/>
          <w:lang w:val="en-US" w:eastAsia="zh-CN"/>
        </w:rPr>
        <w:t>)</w:t>
      </w:r>
      <w:r>
        <w:rPr>
          <w:rFonts w:hAnsi="宋体" w:eastAsia="仿宋_GB2312" w:cs="Times New Roman"/>
          <w:color w:val="auto"/>
          <w:kern w:val="2"/>
          <w:sz w:val="32"/>
          <w:szCs w:val="32"/>
          <w:highlight w:val="none"/>
        </w:rPr>
        <w:t>等</w:t>
      </w:r>
      <w:r>
        <w:rPr>
          <w:rFonts w:hint="eastAsia" w:hAnsi="宋体" w:eastAsia="仿宋_GB2312" w:cs="Times New Roman"/>
          <w:color w:val="auto"/>
          <w:kern w:val="2"/>
          <w:sz w:val="32"/>
          <w:szCs w:val="32"/>
          <w:highlight w:val="none"/>
        </w:rPr>
        <w:t>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2"/>
        </w:numPr>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检验项目的</w:t>
      </w:r>
      <w:r>
        <w:rPr>
          <w:rFonts w:hint="eastAsia" w:hAnsi="宋体" w:eastAsia="仿宋_GB2312" w:cs="Times New Roman"/>
          <w:color w:val="auto"/>
          <w:kern w:val="2"/>
          <w:sz w:val="32"/>
          <w:szCs w:val="32"/>
          <w:highlight w:val="none"/>
        </w:rPr>
        <w:t>说明</w:t>
      </w:r>
    </w:p>
    <w:p>
      <w:pPr>
        <w:pStyle w:val="12"/>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1.</w:t>
      </w:r>
      <w:r>
        <w:rPr>
          <w:rFonts w:hint="eastAsia" w:hAnsi="宋体" w:eastAsia="仿宋_GB2312" w:cs="Times New Roman"/>
          <w:color w:val="auto"/>
          <w:kern w:val="2"/>
          <w:sz w:val="32"/>
          <w:szCs w:val="32"/>
          <w:highlight w:val="none"/>
          <w:lang w:val="zh-CN" w:eastAsia="zh-CN"/>
        </w:rPr>
        <w:t>铝的残留量(干样品，以 Al 计)：</w:t>
      </w:r>
      <w:r>
        <w:rPr>
          <w:rFonts w:hint="eastAsia" w:ascii="仿宋" w:hAnsi="仿宋" w:eastAsia="仿宋" w:cs="仿宋"/>
          <w:sz w:val="32"/>
          <w:szCs w:val="32"/>
          <w:highlight w:val="none"/>
          <w:lang w:val="en-US" w:eastAsia="zh-CN" w:bidi="zh-CN"/>
        </w:rPr>
        <w:t>含铝食品添加剂（比如明矾）是合法的食品添加剂，根据食品安全国家标准和相关产品标准的规定，不允许超限量或超范围使用。按标准使用不会对健康造成危害。根据国家食品安全风险评估专家委员会完成的中国居民膳食铝暴露风险评估结果，我国日常膳食中的含铝食品对一般居民健康造成不良影响的可能性不大。</w:t>
      </w:r>
    </w:p>
    <w:p>
      <w:pPr>
        <w:pStyle w:val="12"/>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肉制品</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（一）抽检依据</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《食品安全国家标准 熟肉制品》(GB 2726-2016)、《食品安全国家标准 食品添加剂使用标准》(GB 2760-2014)、《食品安全国家标准 食品中污染物限量》(GB 2762-2017)、《食品中可能违法添加的非食用物质和易滥用的食品添加剂 品种名单(第五批)》(整顿办函[2011]1号)、《食品安全国家标准 食品中致病菌限量》(GB 29921-2013)</w:t>
      </w:r>
      <w:r>
        <w:rPr>
          <w:rFonts w:hAnsi="宋体" w:eastAsia="仿宋_GB2312" w:cs="Times New Roman"/>
          <w:color w:val="auto"/>
          <w:kern w:val="2"/>
          <w:sz w:val="32"/>
          <w:szCs w:val="32"/>
          <w:highlight w:val="none"/>
        </w:rPr>
        <w:t>等</w:t>
      </w:r>
      <w:r>
        <w:rPr>
          <w:rFonts w:hint="eastAsia" w:hAnsi="宋体" w:eastAsia="仿宋_GB2312" w:cs="Times New Roman"/>
          <w:color w:val="auto"/>
          <w:kern w:val="2"/>
          <w:sz w:val="32"/>
          <w:szCs w:val="32"/>
          <w:highlight w:val="none"/>
        </w:rPr>
        <w:t>标准及产品明示标准和指标的要求</w:t>
      </w:r>
      <w:r>
        <w:rPr>
          <w:rFonts w:hint="eastAsia" w:hAnsi="宋体" w:eastAsia="仿宋_GB2312" w:cs="Times New Roman"/>
          <w:color w:val="auto"/>
          <w:kern w:val="2"/>
          <w:sz w:val="32"/>
          <w:szCs w:val="32"/>
          <w:highlight w:val="none"/>
          <w:lang w:eastAsia="zh-CN"/>
        </w:rPr>
        <w:t>。</w:t>
      </w:r>
    </w:p>
    <w:p>
      <w:pPr>
        <w:pStyle w:val="12"/>
        <w:spacing w:line="600" w:lineRule="exact"/>
        <w:ind w:firstLine="640" w:firstLineChars="200"/>
        <w:jc w:val="both"/>
        <w:rPr>
          <w:rFonts w:hint="eastAsia" w:hAnsi="宋体" w:eastAsia="仿宋_GB2312" w:cs="Times New Roman"/>
          <w:color w:val="auto"/>
          <w:kern w:val="2"/>
          <w:sz w:val="32"/>
          <w:szCs w:val="32"/>
          <w:highlight w:val="none"/>
          <w:lang w:eastAsia="zh-CN"/>
        </w:rPr>
      </w:pPr>
      <w:r>
        <w:rPr>
          <w:rFonts w:hint="eastAsia" w:hAnsi="宋体" w:eastAsia="仿宋_GB2312" w:cs="Times New Roman"/>
          <w:color w:val="auto"/>
          <w:kern w:val="2"/>
          <w:sz w:val="32"/>
          <w:szCs w:val="32"/>
          <w:highlight w:val="none"/>
          <w:lang w:eastAsia="zh-CN"/>
        </w:rPr>
        <w:t>（二）检验项目的说明</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1.</w:t>
      </w:r>
      <w:r>
        <w:rPr>
          <w:rFonts w:hint="eastAsia" w:hAnsi="宋体" w:eastAsia="仿宋_GB2312" w:cs="Times New Roman"/>
          <w:color w:val="auto"/>
          <w:kern w:val="2"/>
          <w:sz w:val="32"/>
          <w:szCs w:val="32"/>
          <w:highlight w:val="none"/>
          <w:lang w:val="zh-CN" w:eastAsia="zh-CN"/>
        </w:rPr>
        <w:t>山梨酸及其钾盐(以山梨酸计)：</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ascii="仿宋" w:hAnsi="仿宋" w:eastAsia="仿宋" w:cs="仿宋"/>
          <w:sz w:val="32"/>
          <w:szCs w:val="32"/>
        </w:rPr>
        <w:t>山梨酸及山梨酸钾是食品防腐保鲜剂，具有广泛的抑菌效果和防霉性能，对霉菌、酵母菌和好气性细菌的生长发育均有抑制作用。《食品安全国家标准 食品添加剂使用标准》（GB 2760-2014）中规定，在熟肉制品中最大使用量为0.075g/kg。山梨酸可以被人体的代谢系统吸收而迅速分解为二氧化碳和水，在体内无残留。</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2.</w:t>
      </w:r>
      <w:r>
        <w:rPr>
          <w:rFonts w:hint="eastAsia" w:hAnsi="宋体" w:eastAsia="仿宋_GB2312" w:cs="Times New Roman"/>
          <w:color w:val="auto"/>
          <w:kern w:val="2"/>
          <w:sz w:val="32"/>
          <w:szCs w:val="32"/>
          <w:highlight w:val="none"/>
          <w:lang w:val="zh-CN" w:eastAsia="zh-CN"/>
        </w:rPr>
        <w:t>菌落总数：</w:t>
      </w:r>
    </w:p>
    <w:p>
      <w:pPr>
        <w:spacing w:line="560" w:lineRule="exact"/>
        <w:ind w:firstLine="640" w:firstLineChars="200"/>
        <w:jc w:val="left"/>
        <w:rPr>
          <w:rFonts w:hint="eastAsia" w:hAnsi="宋体" w:eastAsia="仿宋_GB2312" w:cs="Times New Roman"/>
          <w:color w:val="auto"/>
          <w:kern w:val="2"/>
          <w:sz w:val="32"/>
          <w:szCs w:val="32"/>
          <w:highlight w:val="none"/>
          <w:lang w:val="zh-CN" w:eastAsia="zh-CN"/>
        </w:rPr>
      </w:pPr>
      <w:r>
        <w:rPr>
          <w:rFonts w:hint="eastAsia" w:ascii="仿宋" w:hAnsi="仿宋" w:eastAsia="仿宋" w:cs="仿宋"/>
          <w:sz w:val="32"/>
          <w:szCs w:val="32"/>
          <w:lang w:val="zh-CN" w:eastAsia="zh-CN" w:bidi="zh-CN"/>
        </w:rPr>
        <w:t>菌落总数是指示性微生物指标，并非致病菌指标，主要用来评价食品清洁度，反映食品在生产过程中是否符合卫生要求。菌落总数超标可能是个别企业所使用的原辅料初始菌数较高，又未按要求严格控制生产加工过程的卫生条件，或者包装容器清洗消毒不到位，还有可能与产品包装密封不严、储运条件控制不当等有关。</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3.</w:t>
      </w:r>
      <w:r>
        <w:rPr>
          <w:rFonts w:hint="eastAsia" w:hAnsi="宋体" w:eastAsia="仿宋_GB2312" w:cs="Times New Roman"/>
          <w:color w:val="auto"/>
          <w:kern w:val="2"/>
          <w:sz w:val="32"/>
          <w:szCs w:val="32"/>
          <w:highlight w:val="none"/>
          <w:lang w:val="zh-CN" w:eastAsia="zh-CN"/>
        </w:rPr>
        <w:t>大肠菌群：</w:t>
      </w:r>
    </w:p>
    <w:p>
      <w:pPr>
        <w:pStyle w:val="12"/>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eastAsia" w:ascii="仿宋_GB2312" w:hAnsi="宋体" w:eastAsia="仿宋_GB2312"/>
          <w:sz w:val="32"/>
          <w:szCs w:val="32"/>
          <w:lang w:val="zh-CN" w:eastAsia="zh-CN"/>
        </w:rPr>
        <w:t>大肠菌群是国内外通用的食品污染常用指示菌之一。食品中检出大肠菌群，提示被致病菌(如沙门氏菌、志贺氏菌、致病性大肠杆菌)污染的可能性较大。抽检中未检出致病菌，结合居民膳食结构、抽检情况等因素综合分析，健康风险较低，但反映该食品卫生状况不达标。大肠菌群超标可能由于产品的加工原料、包装材料受污染，或在生产过程中产品受人员、工器具等生产设备、环境的污染等有关。</w:t>
      </w:r>
    </w:p>
    <w:p>
      <w:pPr>
        <w:pStyle w:val="12"/>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食用农产品</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（一）抽检依据</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《食品安全国家标准 鲜(冻)畜、禽产品》(GB 2707-2016)、《食品安全国家标准 食品中污染物限量》(GB 2762-2017)、《食品安全国家标准 食品中农药最大残留限量》(GB 2763-2019)、《豆芽卫生标准》(GB 22556-2008)、《食品安全国家标准 食品中兽药最大残留限量》(GB 31650-2019)、《发布在食品动物中停止使用洛美沙星、培氟沙星、氧氟沙星、诺氟沙星4种兽药的决定》(农业部公告第2292号)、《动物性食品中兽药最高残留限量》（农业部公告第235号）、《食品动物中禁止使用的药品及其他化合物清单》(农业农村部公告第250号)、《兽药地方标准废止目录》(农业部公告第560号)、国家食品药监督管理总局农业部家卫生和计划育委员会关于豆芽产过程中禁止使用6-苄基腺嘌呤等物质的公告（2015年第11号）</w:t>
      </w:r>
      <w:r>
        <w:rPr>
          <w:rFonts w:hAnsi="宋体" w:eastAsia="仿宋_GB2312" w:cs="Times New Roman"/>
          <w:color w:val="auto"/>
          <w:kern w:val="2"/>
          <w:sz w:val="32"/>
          <w:szCs w:val="32"/>
          <w:highlight w:val="none"/>
        </w:rPr>
        <w:t>等</w:t>
      </w:r>
      <w:r>
        <w:rPr>
          <w:rFonts w:hint="eastAsia" w:hAnsi="宋体" w:eastAsia="仿宋_GB2312" w:cs="Times New Roman"/>
          <w:color w:val="auto"/>
          <w:kern w:val="2"/>
          <w:sz w:val="32"/>
          <w:szCs w:val="32"/>
          <w:highlight w:val="none"/>
        </w:rPr>
        <w:t>标准及产品明示标准和指标的要求</w:t>
      </w:r>
      <w:r>
        <w:rPr>
          <w:rFonts w:hint="eastAsia" w:hAnsi="宋体" w:eastAsia="仿宋_GB2312" w:cs="Times New Roman"/>
          <w:color w:val="auto"/>
          <w:kern w:val="2"/>
          <w:sz w:val="32"/>
          <w:szCs w:val="32"/>
          <w:highlight w:val="none"/>
          <w:lang w:eastAsia="zh-CN"/>
        </w:rPr>
        <w:t>。</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（二）检验项目的</w:t>
      </w:r>
      <w:r>
        <w:rPr>
          <w:rFonts w:hint="eastAsia" w:hAnsi="宋体" w:eastAsia="仿宋_GB2312" w:cs="Times New Roman"/>
          <w:color w:val="auto"/>
          <w:kern w:val="2"/>
          <w:sz w:val="32"/>
          <w:szCs w:val="32"/>
          <w:highlight w:val="none"/>
        </w:rPr>
        <w:t>说明</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1.</w:t>
      </w:r>
      <w:r>
        <w:rPr>
          <w:rFonts w:hint="eastAsia" w:hAnsi="宋体" w:eastAsia="仿宋_GB2312" w:cs="Times New Roman"/>
          <w:color w:val="auto"/>
          <w:kern w:val="2"/>
          <w:sz w:val="32"/>
          <w:szCs w:val="32"/>
          <w:highlight w:val="none"/>
          <w:lang w:val="zh-CN" w:eastAsia="zh-CN"/>
        </w:rPr>
        <w:t>4-氯苯氧乙酸钠(以4-氯苯氧乙酸计)：</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ascii="仿宋_GB2312" w:hAnsi="宋体" w:eastAsia="仿宋_GB2312"/>
          <w:sz w:val="32"/>
          <w:szCs w:val="32"/>
          <w:lang w:val="zh-CN" w:eastAsia="zh-CN"/>
        </w:rPr>
        <w:t>4-氯苯氧乙酸钠是一种植物生长调节剂，具有防止落花落果、加快果实生长速度、促进提前成熟等作用。《国家食品药品监督管理总局、农业部、国家卫生和计划生育委员会关于豆芽生产过程中禁止使用6-苄基腺嘌呤等物质的公告》（2015年第11号）中规定，生产者不得在豆芽生产过程中使用4-氯苯氧乙酸钠，豆芽经营者不得经营含4-氯苯氧乙酸钠的豆芽。</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2.恩诺沙星(以恩诺沙星与环丙沙星之和计)：</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_GB2312" w:hAnsi="宋体" w:eastAsia="仿宋_GB2312" w:cs="Times New Roman"/>
          <w:color w:val="auto"/>
          <w:kern w:val="2"/>
          <w:sz w:val="32"/>
          <w:szCs w:val="32"/>
          <w:lang w:val="zh-CN" w:eastAsia="zh-CN" w:bidi="ar-SA"/>
        </w:rPr>
        <w:t>恩诺沙星，又名恩氟奎林羧酸，属于氟喹诺酮类药物，化学合成广谱抑菌剂，在预防和治疗畜禽的细菌性感染及支原体病方面有良好效果。</w:t>
      </w:r>
      <w:r>
        <w:rPr>
          <w:rFonts w:hint="eastAsia" w:ascii="仿宋" w:hAnsi="仿宋" w:eastAsia="仿宋" w:cs="仿宋"/>
          <w:sz w:val="32"/>
          <w:szCs w:val="32"/>
          <w:lang w:val="zh-CN" w:eastAsia="zh-CN" w:bidi="zh-CN"/>
        </w:rPr>
        <w:t>农业部2002年235号公告明确规定，禁止在产蛋家禽中使用该药物。本次检出恩诺沙星不合格可能是养殖户在养殖过程中为防治疾病而非法使用恩诺沙星所致。</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3.呋喃唑酮代谢物（AOZ）：</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_GB2312" w:hAnsi="宋体" w:eastAsia="仿宋_GB2312" w:cs="Times New Roman"/>
          <w:color w:val="auto"/>
          <w:kern w:val="2"/>
          <w:sz w:val="32"/>
          <w:szCs w:val="32"/>
          <w:lang w:val="zh-CN" w:eastAsia="zh-CN" w:bidi="ar-SA"/>
        </w:rPr>
        <w:t>硝基呋喃类药物（呋喃它酮、呋喃唑酮、呋喃妥因、呋喃西林）是广谱抗生素，农业部规定该类药物为“禁止使用的药物，在动物性食品中不得检出”。呋喃类药物进入动物体内很快发生代谢，代谢产物在组织中存在较长时间。</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4.镉(以Cd计)：</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ascii="仿宋_GB2312" w:hAnsi="宋体" w:eastAsia="仿宋_GB2312" w:cs="Times New Roman"/>
          <w:color w:val="auto"/>
          <w:kern w:val="2"/>
          <w:sz w:val="32"/>
          <w:szCs w:val="32"/>
          <w:lang w:val="zh-CN" w:eastAsia="zh-CN" w:bidi="ar-SA"/>
        </w:rPr>
        <w:t>镉是环境中最常见的污染重金属元素之一，联合国环境规划署（DNFP）和国际职业卫生重金属委员会将镉列入重点研究的环境污染物，世界卫生组织（WHO）则将其作为优先研究的食品污染物。本次抽检镉项目不合格原因可能是蔬菜种植、水产品养殖过程中对环境中镉元素的富集。</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5.磺胺类(总量)：</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_GB2312" w:hAnsi="宋体" w:eastAsia="仿宋_GB2312"/>
          <w:sz w:val="32"/>
          <w:szCs w:val="32"/>
          <w:lang w:val="en-US" w:eastAsia="zh-CN"/>
        </w:rPr>
        <w:t>磺胺类药物是一种人工合成的抗菌药，具有抗菌谱较广、性质稳定、使用简便等特性，对大多数革兰氏阳性菌和阴性菌都有较强抑制作用，广泛用于防治鸡球虫病。《动物性食品中兽药最高残留限量》（农业部公告第235号）规定，磺胺类在所有食品动物的肌肉和脂肪中的最高残留限量为100μg/kg。</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6.孔雀石绿(以孔雀石绿与隐色孔雀石绿之和计)：</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 w:hAnsi="仿宋" w:eastAsia="仿宋" w:cs="仿宋"/>
          <w:sz w:val="32"/>
          <w:szCs w:val="32"/>
          <w:highlight w:val="none"/>
          <w:lang w:val="zh-CN" w:eastAsia="zh-CN" w:bidi="zh-CN"/>
        </w:rPr>
        <w:t>孔雀石绿是一种带有金属光泽的绿色结晶体，又名碱性绿、严基块绿、孔雀绿，它既是杀真菌剂，又是染料，易溶于水，溶液呈蓝绿色，广泛用于真丝、羊毛、皮革、麻制品、陶瓷制品、棉布等的染色。孔雀石绿很早曾经作为杀菌剂、杀虫剂、消毒剂用于水产养殖业。长期以来，渔民都用它来预防鱼的水霉病、鳃霉病、小瓜虫病等，而且为了使鳞受损的鱼延长生命，在运输过程中和存放池内，也常使用孔雀石绿。许多国家都将孔雀石绿列为水产养殖禁用药物（观赏鱼除外），我国也将孔雀石绿列为禁用药物（《中华人民共和国农业部公告第235号》）。</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7.灭蝇胺：</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en-US" w:eastAsia="zh-CN" w:bidi="zh-CN"/>
        </w:rPr>
        <w:t>灭蝇胺是一种昆虫生长调节剂类低毒杀虫剂，有非常强的选择性，主要对双翅目昆虫有活性。</w:t>
      </w:r>
      <w:r>
        <w:rPr>
          <w:rFonts w:hint="eastAsia" w:ascii="仿宋" w:hAnsi="仿宋" w:eastAsia="仿宋" w:cs="仿宋"/>
          <w:sz w:val="32"/>
          <w:szCs w:val="32"/>
          <w:lang w:val="zh-CN" w:eastAsia="zh-CN" w:bidi="zh-CN"/>
        </w:rPr>
        <w:t>灭蝇胺适用于多种瓜果蔬菜，主要对"蝇类"害虫具有良好的杀虫作用。目前瓜果蔬菜生产中主要用于防治:各种瓜果类、茄果类、豆类及多种叶菜类蔬菜的</w:t>
      </w:r>
      <w:bookmarkStart w:id="0" w:name="_GoBack"/>
      <w:r>
        <w:rPr>
          <w:rFonts w:hint="eastAsia" w:ascii="仿宋" w:hAnsi="仿宋" w:eastAsia="仿宋" w:cs="仿宋"/>
          <w:sz w:val="32"/>
          <w:szCs w:val="32"/>
          <w:lang w:val="en-US" w:eastAsia="zh-CN" w:bidi="zh-CN"/>
        </w:rPr>
        <w:t>美</w:t>
      </w:r>
      <w:bookmarkEnd w:id="0"/>
      <w:r>
        <w:rPr>
          <w:rFonts w:hint="eastAsia" w:ascii="仿宋" w:hAnsi="仿宋" w:eastAsia="仿宋" w:cs="仿宋"/>
          <w:sz w:val="32"/>
          <w:szCs w:val="32"/>
          <w:lang w:val="en-US" w:eastAsia="zh-CN" w:bidi="zh-CN"/>
        </w:rPr>
        <w:t>洲</w:t>
      </w:r>
      <w:r>
        <w:rPr>
          <w:rFonts w:hint="eastAsia" w:ascii="仿宋" w:hAnsi="仿宋" w:eastAsia="仿宋" w:cs="仿宋"/>
          <w:sz w:val="32"/>
          <w:szCs w:val="32"/>
          <w:lang w:val="zh-CN" w:eastAsia="zh-CN" w:bidi="zh-CN"/>
        </w:rPr>
        <w:t>斑潜蝇、南美斑潜蝇、豆杆黑潜蝇、葱斑潜叶蝇、三叶斑潜蝇等多种潜叶蝇，韭菜及葱、蒜的根蛆(韭菜赤眼草蚊)等。</w:t>
      </w:r>
      <w:r>
        <w:rPr>
          <w:rFonts w:hint="eastAsia" w:ascii="仿宋" w:hAnsi="仿宋" w:eastAsia="仿宋" w:cs="仿宋"/>
          <w:sz w:val="32"/>
          <w:szCs w:val="32"/>
          <w:lang w:val="en-US" w:eastAsia="zh-CN" w:bidi="zh-CN"/>
        </w:rPr>
        <w:t>灭蝇胺</w:t>
      </w:r>
      <w:r>
        <w:rPr>
          <w:rFonts w:hint="eastAsia" w:ascii="仿宋" w:hAnsi="仿宋" w:eastAsia="仿宋" w:cs="仿宋"/>
          <w:sz w:val="32"/>
          <w:szCs w:val="32"/>
          <w:lang w:val="zh-CN" w:eastAsia="zh-CN" w:bidi="zh-CN"/>
        </w:rPr>
        <w:t>持效期较长，但作用速度较慢，是一种高效、低毒生态农药。</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8.噻虫嗪：</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 w:hAnsi="仿宋" w:eastAsia="仿宋" w:cs="仿宋"/>
          <w:sz w:val="32"/>
          <w:szCs w:val="32"/>
          <w:highlight w:val="none"/>
          <w:lang w:val="en-US" w:eastAsia="zh-CN" w:bidi="zh-CN"/>
        </w:rPr>
        <w:t>噻虫嗪对害虫具有胃毒、触杀及内吸活性，用于叶面喷雾及土壤灌根处理。其施药后迅速被内吸，并传导到植株各部位，对刺吸式害虫如蚜虫、飞虱、叶蝉、粉虱等有良好的防效。噻虫嗪为低毒农药，一般不会引起中毒事故.噻虫嗪超标的可能原因是： 1.种植户为了追求良好的杀虫效果，超剂量使用噻虫嗪。2.种植户没有按规定的休药期进行采摘，从而导致噻虫嗪残留量超标。 3.种植土壤、水源中的噻虫嗪残留超标。</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9.五氯酚酸钠：</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ascii="仿宋_GB2312" w:hAnsi="宋体" w:eastAsia="仿宋_GB2312"/>
          <w:sz w:val="32"/>
          <w:szCs w:val="32"/>
          <w:lang w:val="zh-CN" w:eastAsia="zh-CN"/>
        </w:rPr>
        <w:t>五氯酚酸钠属于有机氯农药，常被用作除草剂或者杀菌剂。养殖户还曾经把它当做杀螺剂，将五氯酚钠固体加入水中，用于消灭池塘、稻田内寄生血吸虫的宿主钉螺等。由于五氯酚酸钠易溶于水，使它极易扩散，容易造成水、土壤污染，再通过食物链作用，进入动植物体内，残留于食品中。我国农业部 2002 年发布的 235 号公告《动物性食品中兽药最高残留限量》中，将五氯酚酸钠列为违禁药物，不得在动物性食品中检出。</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10.氧氟沙星：</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氧氟沙星属于喹诺酮类抗生素，具有广谱抗菌作用，抗菌作用强。原农业部公告第2292号中规定，在食品动物中停止使用洛美沙星、培氟沙星、氧氟沙星、诺氟沙星4种兽药（不得检出）。样品中不合格的原因可能是养殖者在养殖或运输途中为减少或防止动物受寄生虫影响导致死亡的现象，违规使用了氧氟沙星作为杀菌剂。</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11.氧乐果：</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氧乐果是一种内吸杀虫作用,可以被植株的茎、叶吸进植株体内 ,因此很容易造成农药残留,在蔬菜生产过程中,“氧化乐果”属于违禁使用农药，抽检产品不合格可能是农户为了节省成本目的而违规使用在农产品上导致。</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p>
    <w:p>
      <w:pPr>
        <w:pStyle w:val="12"/>
        <w:spacing w:line="600" w:lineRule="exact"/>
        <w:ind w:firstLine="640" w:firstLineChars="200"/>
        <w:jc w:val="both"/>
        <w:rPr>
          <w:rFonts w:hint="default" w:hAnsi="宋体" w:eastAsia="仿宋_GB2312" w:cs="Times New Roman"/>
          <w:color w:val="auto"/>
          <w:kern w:val="2"/>
          <w:sz w:val="32"/>
          <w:szCs w:val="32"/>
          <w:highlight w:val="none"/>
          <w:lang w:val="en-US" w:eastAsia="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F6B97"/>
    <w:multiLevelType w:val="singleLevel"/>
    <w:tmpl w:val="515F6B97"/>
    <w:lvl w:ilvl="0" w:tentative="0">
      <w:start w:val="2"/>
      <w:numFmt w:val="chineseCounting"/>
      <w:suff w:val="nothing"/>
      <w:lvlText w:val="（%1）"/>
      <w:lvlJc w:val="left"/>
      <w:rPr>
        <w:rFonts w:hint="eastAsia"/>
      </w:rPr>
    </w:lvl>
  </w:abstractNum>
  <w:abstractNum w:abstractNumId="1">
    <w:nsid w:val="7E9A4B05"/>
    <w:multiLevelType w:val="singleLevel"/>
    <w:tmpl w:val="7E9A4B0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B054BA"/>
    <w:rsid w:val="03F06EAD"/>
    <w:rsid w:val="090604A3"/>
    <w:rsid w:val="09404693"/>
    <w:rsid w:val="098B4FED"/>
    <w:rsid w:val="0A3C601D"/>
    <w:rsid w:val="0ACE6353"/>
    <w:rsid w:val="0B067781"/>
    <w:rsid w:val="0BFE7616"/>
    <w:rsid w:val="0C1667AC"/>
    <w:rsid w:val="0D2B2324"/>
    <w:rsid w:val="104B7313"/>
    <w:rsid w:val="126B6BFD"/>
    <w:rsid w:val="145F0D0D"/>
    <w:rsid w:val="15886BAB"/>
    <w:rsid w:val="15C74A14"/>
    <w:rsid w:val="16627B1C"/>
    <w:rsid w:val="16F94982"/>
    <w:rsid w:val="174B3E74"/>
    <w:rsid w:val="17EF416E"/>
    <w:rsid w:val="18145769"/>
    <w:rsid w:val="18451B3F"/>
    <w:rsid w:val="195B4923"/>
    <w:rsid w:val="19FE57A3"/>
    <w:rsid w:val="1DF10696"/>
    <w:rsid w:val="1EFF100B"/>
    <w:rsid w:val="20CE2FF7"/>
    <w:rsid w:val="220A2C36"/>
    <w:rsid w:val="22550787"/>
    <w:rsid w:val="25137D68"/>
    <w:rsid w:val="25833FF1"/>
    <w:rsid w:val="263C6EBE"/>
    <w:rsid w:val="284A5BF2"/>
    <w:rsid w:val="29DF02C5"/>
    <w:rsid w:val="2B461F65"/>
    <w:rsid w:val="2C49032B"/>
    <w:rsid w:val="2C516F87"/>
    <w:rsid w:val="2D66027E"/>
    <w:rsid w:val="2FD10C3E"/>
    <w:rsid w:val="30CE09BD"/>
    <w:rsid w:val="31C6061F"/>
    <w:rsid w:val="325564AA"/>
    <w:rsid w:val="32DD00BD"/>
    <w:rsid w:val="35CD1EF6"/>
    <w:rsid w:val="379573AA"/>
    <w:rsid w:val="386B654E"/>
    <w:rsid w:val="391352A9"/>
    <w:rsid w:val="392831E9"/>
    <w:rsid w:val="39FE4AA4"/>
    <w:rsid w:val="3ADD2861"/>
    <w:rsid w:val="3AFA4815"/>
    <w:rsid w:val="3BA67A1F"/>
    <w:rsid w:val="3CFD56CF"/>
    <w:rsid w:val="3D297853"/>
    <w:rsid w:val="3FF53552"/>
    <w:rsid w:val="40A02C85"/>
    <w:rsid w:val="428D21EB"/>
    <w:rsid w:val="42F175FF"/>
    <w:rsid w:val="4452544F"/>
    <w:rsid w:val="46B032DF"/>
    <w:rsid w:val="49635EC1"/>
    <w:rsid w:val="4B911789"/>
    <w:rsid w:val="4D94490D"/>
    <w:rsid w:val="4DAD2FA1"/>
    <w:rsid w:val="4DDB6E2C"/>
    <w:rsid w:val="4E9C06D0"/>
    <w:rsid w:val="4F633E56"/>
    <w:rsid w:val="51F32994"/>
    <w:rsid w:val="520E4E41"/>
    <w:rsid w:val="54283603"/>
    <w:rsid w:val="54441C31"/>
    <w:rsid w:val="58D21156"/>
    <w:rsid w:val="58D27289"/>
    <w:rsid w:val="58EF2A7D"/>
    <w:rsid w:val="5C77642F"/>
    <w:rsid w:val="5CED668D"/>
    <w:rsid w:val="5F1D6839"/>
    <w:rsid w:val="60CF2535"/>
    <w:rsid w:val="63E51F55"/>
    <w:rsid w:val="68932D56"/>
    <w:rsid w:val="697C6D68"/>
    <w:rsid w:val="6A751066"/>
    <w:rsid w:val="6B4C4B7D"/>
    <w:rsid w:val="6D623F1A"/>
    <w:rsid w:val="6EB63DAF"/>
    <w:rsid w:val="6EF66C78"/>
    <w:rsid w:val="6FF2151A"/>
    <w:rsid w:val="71894BD7"/>
    <w:rsid w:val="726258D5"/>
    <w:rsid w:val="73B232F5"/>
    <w:rsid w:val="74EF7DD6"/>
    <w:rsid w:val="757B108B"/>
    <w:rsid w:val="757B7956"/>
    <w:rsid w:val="767562F4"/>
    <w:rsid w:val="77B41AFA"/>
    <w:rsid w:val="77DD7782"/>
    <w:rsid w:val="79060923"/>
    <w:rsid w:val="79871452"/>
    <w:rsid w:val="7B6A0503"/>
    <w:rsid w:val="7B802328"/>
    <w:rsid w:val="7BCD75A4"/>
    <w:rsid w:val="7D212BFB"/>
    <w:rsid w:val="7E3539E2"/>
    <w:rsid w:val="7F023EEF"/>
    <w:rsid w:val="7F34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0</TotalTime>
  <ScaleCrop>false</ScaleCrop>
  <LinksUpToDate>false</LinksUpToDate>
  <CharactersWithSpaces>171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黎佩珊</cp:lastModifiedBy>
  <dcterms:modified xsi:type="dcterms:W3CDTF">2022-04-08T07:03:47Z</dcterms:modified>
  <dc:title>附件3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