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抽检依据</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饼干</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《饼干》</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GB/T 20980-2007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lang w:val="en-US" w:eastAsia="zh-CN"/>
        </w:rPr>
      </w:pPr>
      <w:r>
        <w:rPr>
          <w:rFonts w:hint="eastAsia" w:hAnsi="宋体" w:eastAsia="仿宋_GB2312" w:cs="Times New Roman"/>
          <w:color w:val="auto"/>
          <w:kern w:val="2"/>
          <w:sz w:val="32"/>
          <w:szCs w:val="32"/>
          <w:lang w:val="en-US" w:eastAsia="zh-CN"/>
        </w:rPr>
        <w:t>炒货食品及坚果制品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坚果与籽类食品》(GB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rPr>
        <w:t>19300-2014)等标准及产品明示标准和指标的要求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方便食品</w:t>
      </w:r>
    </w:p>
    <w:p>
      <w:pPr>
        <w:pStyle w:val="12"/>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highlight w:val="none"/>
        </w:rPr>
        <w:t>《食品安全国家标准食品中污染物限量》(GB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rPr>
        <w:t>2762-2012)、《食品安全国家标准食品添加剂使用标准》(GB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rPr>
        <w:t>2760-2014)、《食品安全国家标准食品中致病菌限量》(GB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rPr>
        <w:t>29921-2013)等标准及产品明示标准和指标的要求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糕点</w:t>
      </w:r>
    </w:p>
    <w:p>
      <w:pPr>
        <w:pStyle w:val="12"/>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highlight w:val="none"/>
        </w:rPr>
        <w:t>《糕点通则》</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GB/T 20977-2007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糕点、面包》</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7099-2015</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食品中致病菌限量》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29921-2013</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全国打击违法添加非食用物质和滥用食品添加剂专项整治领导小组关于印发《食品中可能违法添加的非食用物质名单（第二批）》的通知</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 xml:space="preserve">食品整治办〔2009〕5号 </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罐头</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食品添加剂使用标准》(GB 2760-2014)、《食品安全国家标准 罐头食品》（GB 7098-2015）等标准及产品明示标准和指标的要求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粮食加工品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rPr>
        <w:t xml:space="preserve"> 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食糖</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食糖》</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13104-2014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食用农产品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《食品安全国家标准鲜(冻)畜、禽产品》(GB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rPr>
        <w:t>2707-2016)《食品安全国家标准 食品中污染物限量》(GB 2762-2017)、《食品安全国家标准 食品中农药最大残留限量》(GB 2763-2019)</w:t>
      </w:r>
      <w:r>
        <w:rPr>
          <w:rFonts w:hint="eastAsia" w:hAnsi="宋体" w:eastAsia="仿宋_GB2312" w:cs="Times New Roman"/>
          <w:color w:val="auto"/>
          <w:kern w:val="2"/>
          <w:sz w:val="32"/>
          <w:szCs w:val="32"/>
          <w:highlight w:val="none"/>
          <w:lang w:eastAsia="zh-CN"/>
        </w:rPr>
        <w:t>、《食品安全国家标准 食品中兽药最大残留限量》(GB 31650-2019)、《动物性食品中兽药最高残留限量》（中华人民共和国农业部公告第235号）、《兽药地方标准废止目录》（中华人民共和国农业部公告第560号）、《发布在食品动物中停止使用洛美沙星、培氟沙星、氧氟沙星、诺氟沙星4种兽药的决定》(农业部公告第2292号)、违法添加的非食用物质和易滥用的食品添加剂名单(第四批)》的通知(整顿办函〔2010〕50号)、《食品动物中禁止使用的药品及其他化合物清单》(农业农村部公告第250号)、国家食品药品监督管理总局农业部国家卫生和计划生育委员会关于豆芽生产过程禁止使用6-苄基腺嘌呤等物质的公告(2015年第11号)的要求</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食用油、油脂及其制品</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rPr>
        <w:t>《食品安全国家标准 食品添加剂使用标准》(GB 2760-2014)等标准及产品明示标准和指标的要求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蔬菜制品</w:t>
      </w:r>
    </w:p>
    <w:p>
      <w:pPr>
        <w:pStyle w:val="12"/>
        <w:spacing w:line="600" w:lineRule="exact"/>
        <w:ind w:firstLine="640" w:firstLineChars="200"/>
        <w:jc w:val="both"/>
        <w:rPr>
          <w:rFonts w:hint="eastAsia" w:hAnsi="宋体" w:eastAsia="仿宋_GB2312" w:cs="Times New Roman"/>
          <w:color w:val="auto"/>
          <w:kern w:val="2"/>
          <w:sz w:val="32"/>
          <w:szCs w:val="32"/>
          <w:lang w:eastAsia="zh-CN"/>
        </w:rPr>
      </w:pPr>
      <w:r>
        <w:rPr>
          <w:rFonts w:hint="eastAsia" w:hAnsi="宋体" w:eastAsia="仿宋_GB2312" w:cs="Times New Roman"/>
          <w:color w:val="auto"/>
          <w:kern w:val="2"/>
          <w:sz w:val="32"/>
          <w:szCs w:val="32"/>
          <w:highlight w:val="none"/>
        </w:rPr>
        <w:t>《酱腌菜》</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SB/T 10439-2007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《食品安全国家标准 食品中污染物限量》</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2762-2017</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全国食品安全整顿工作办公室关于印发《食品中可能违法添加的非食用物质和易滥用的食品添加剂品种名单（第五批）》的通知</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整顿办函〔2011〕1号</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糖果制品</w:t>
      </w:r>
    </w:p>
    <w:p>
      <w:pPr>
        <w:pStyle w:val="12"/>
        <w:spacing w:line="600" w:lineRule="exact"/>
        <w:ind w:firstLine="640" w:firstLineChars="200"/>
        <w:jc w:val="both"/>
        <w:rPr>
          <w:rFonts w:hint="eastAsia" w:hAnsi="宋体" w:eastAsia="仿宋_GB2312" w:cs="Times New Roman"/>
          <w:color w:val="auto"/>
          <w:kern w:val="2"/>
          <w:sz w:val="32"/>
          <w:szCs w:val="32"/>
          <w:lang w:eastAsia="zh-CN"/>
        </w:rPr>
      </w:pPr>
      <w:r>
        <w:rPr>
          <w:rFonts w:hint="eastAsia" w:hAnsi="宋体" w:eastAsia="仿宋_GB2312" w:cs="Times New Roman"/>
          <w:color w:val="auto"/>
          <w:kern w:val="2"/>
          <w:sz w:val="32"/>
          <w:szCs w:val="32"/>
          <w:highlight w:val="none"/>
          <w:lang w:eastAsia="zh-CN"/>
        </w:rPr>
        <w:t>《食品安全国家标准 预包装食品标签通则》</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lang w:eastAsia="zh-CN"/>
        </w:rPr>
        <w:t>GB 7718-2011</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lang w:eastAsia="zh-CN"/>
        </w:rPr>
        <w:t>、《食品安全国家标准 预包装食品营养标签通则》</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lang w:eastAsia="zh-CN"/>
        </w:rPr>
        <w:t>GB 28050-2011</w:t>
      </w:r>
      <w:r>
        <w:rPr>
          <w:rFonts w:hint="eastAsia" w:hAnsi="宋体" w:eastAsia="仿宋_GB2312" w:cs="Times New Roman"/>
          <w:color w:val="auto"/>
          <w:kern w:val="2"/>
          <w:sz w:val="32"/>
          <w:szCs w:val="32"/>
          <w:highlight w:val="none"/>
          <w:lang w:val="en-US"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调味品</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《香辛料调味品通用技术条件》（GB/T 15691-2008）、《食品安全国家标准 食品添加剂使用标准》（GB 2760-2014）、《食品安全国家标准 食品中污染物限量》（GB 2762-2017）、 全国食品安全整顿工作办公室关于印发《食品中可能违法添加 的非食用物质和易滥用的食品添加剂品种名单（第五批）》的通知（整顿办函〔2011〕1 号）</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12"/>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4-氯苯氧乙酸钠</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6-苄基腺嘌呤酸钠</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 xml:space="preserve">苯甲酸及其钠盐(以苯甲酸计) </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赤藓红</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赤藓红是常见合成着色剂，在现代食品业中应用广泛。合成着色剂没有营养价值。人工合成色素的用量须严格控制，不得超过允许的最大使用量。</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毒死蜱</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毒死蜱是一种具有触杀、胃毒和熏蒸作用的有机磷杀虫剂。在叶片上残留期一般为 5 至 7 天，在土壤中残留期较长，对鱼类及水生生物毒性较高，对蜜蜂有毒。长期暴露在含有毒死蜱的环境中，可能会导致神经毒性、生殖毒性，并会影响胚胎的生长发育。此次抽检产品中含有残留超标可能为农户过量使用或未超过药效的持效期就上市导致。</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恩诺沙星(以恩诺沙星与环丙沙星之和计)</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氯霉素</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氧氟沙星</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磺胺类(总量)</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呋喃唑酮代谢物</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硝基呋喃类药物（呋喃它酮、呋喃唑酮、呋喃妥因、呋喃西林）是广谱抗生素，农业部规定该类药物为“禁止使用的药物，在动物性食品中不得检出”。</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氟苯尼考</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镉(以Cd计)</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 xml:space="preserve">过氧化值(以脂肪计) </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 xml:space="preserve"> </w:t>
      </w: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菌落总数</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 xml:space="preserve"> </w:t>
      </w:r>
      <w:r>
        <w:rPr>
          <w:rFonts w:hint="eastAsia" w:ascii="仿宋_GB2312" w:hAnsi="宋体" w:eastAsia="仿宋_GB2312"/>
          <w:sz w:val="32"/>
          <w:szCs w:val="32"/>
          <w:lang w:val="zh-CN" w:eastAsia="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克百威</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克百威属高毒杀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氯霉素</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灭蝇胺</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w:t>
      </w:r>
      <w:r>
        <w:rPr>
          <w:rFonts w:hint="eastAsia" w:ascii="仿宋" w:hAnsi="仿宋" w:eastAsia="仿宋" w:cs="仿宋"/>
          <w:sz w:val="32"/>
          <w:szCs w:val="32"/>
          <w:lang w:val="en-US" w:eastAsia="zh-CN" w:bidi="zh-CN"/>
        </w:rPr>
        <w:t>美洲</w:t>
      </w:r>
      <w:bookmarkStart w:id="1" w:name="_GoBack"/>
      <w:bookmarkEnd w:id="1"/>
      <w:r>
        <w:rPr>
          <w:rFonts w:hint="eastAsia" w:ascii="仿宋" w:hAnsi="仿宋" w:eastAsia="仿宋" w:cs="仿宋"/>
          <w:sz w:val="32"/>
          <w:szCs w:val="32"/>
          <w:lang w:val="zh-CN" w:eastAsia="zh-CN" w:bidi="zh-CN"/>
        </w:rPr>
        <w:t>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bookmarkStart w:id="0" w:name="4.12氟虫腈"/>
      <w:bookmarkEnd w:id="0"/>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铅</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铅是一种稳定的不可降解的污染物，铅超标可能是生产企业对原料质量把关不严，使用了铅含量超标的原料，或生产加工环境不符合要求，由生产设备迁移入产品等导致。</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色值</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食糖的品质指标之一，主要影响糖品的外观，是杂质多寡的一种反映，也是生产工艺水平的一种体现。</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水胺硫磷</w:t>
      </w:r>
    </w:p>
    <w:p>
      <w:pPr>
        <w:spacing w:line="56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zh-CN" w:eastAsia="zh-CN"/>
        </w:rPr>
        <w:t>水胺硫磷是一种速效杀虫、杀螨剂。禁止用于果、茶、烟、菜、中草药植物上。抽检产品不合格可能是农户为了节省成本目的而违规使用在农产品上导致。</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酸价(以脂肪计)(KOH)</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酸价主要反映食品中的油脂酸败程度。酸价超标会导致食品有哈喇味，超标严重时所产生的醛、酮、酸会破坏脂溶性维生素。造成酸价不合格的主要原因有：原料采购上把关不严、生产工艺不达标、产品储藏条件不当，特别是存贮温度较高时易导致食品中的脂肪氧化酸败。</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脱氢乙酸及其钠盐(以脱氢乙酸计)</w:t>
      </w:r>
    </w:p>
    <w:p>
      <w:pPr>
        <w:spacing w:line="60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pStyle w:val="12"/>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乙基麦芽酚</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pStyle w:val="12"/>
        <w:numPr>
          <w:ilvl w:val="0"/>
          <w:numId w:val="0"/>
        </w:numPr>
        <w:spacing w:line="600" w:lineRule="exact"/>
        <w:jc w:val="both"/>
        <w:rPr>
          <w:rFonts w:hint="default" w:hAnsi="宋体" w:eastAsia="仿宋_GB2312" w:cs="Times New Roman"/>
          <w:color w:val="auto"/>
          <w:kern w:val="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177A552E"/>
    <w:multiLevelType w:val="singleLevel"/>
    <w:tmpl w:val="177A552E"/>
    <w:lvl w:ilvl="0" w:tentative="0">
      <w:start w:val="1"/>
      <w:numFmt w:val="chineseCounting"/>
      <w:suff w:val="nothing"/>
      <w:lvlText w:val="（%1）"/>
      <w:lvlJc w:val="left"/>
      <w:rPr>
        <w:rFonts w:hint="eastAsia"/>
      </w:rPr>
    </w:lvl>
  </w:abstractNum>
  <w:abstractNum w:abstractNumId="2">
    <w:nsid w:val="7E9A4B05"/>
    <w:multiLevelType w:val="singleLevel"/>
    <w:tmpl w:val="7E9A4B0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B054BA"/>
    <w:rsid w:val="03F06EAD"/>
    <w:rsid w:val="050D6EC3"/>
    <w:rsid w:val="078602F3"/>
    <w:rsid w:val="090604A3"/>
    <w:rsid w:val="0A5020B4"/>
    <w:rsid w:val="0BFE7616"/>
    <w:rsid w:val="0C1667AC"/>
    <w:rsid w:val="0CEF6768"/>
    <w:rsid w:val="0D2B2324"/>
    <w:rsid w:val="0E316E25"/>
    <w:rsid w:val="104B7313"/>
    <w:rsid w:val="12577ADA"/>
    <w:rsid w:val="129E58DA"/>
    <w:rsid w:val="139C76A1"/>
    <w:rsid w:val="145F0D0D"/>
    <w:rsid w:val="14744839"/>
    <w:rsid w:val="156B7E6D"/>
    <w:rsid w:val="15886BAB"/>
    <w:rsid w:val="15C74A14"/>
    <w:rsid w:val="16627B1C"/>
    <w:rsid w:val="17177BD8"/>
    <w:rsid w:val="17EF416E"/>
    <w:rsid w:val="18451B3F"/>
    <w:rsid w:val="195B4923"/>
    <w:rsid w:val="19FE57A3"/>
    <w:rsid w:val="1A9E3EB9"/>
    <w:rsid w:val="1DF10696"/>
    <w:rsid w:val="1EED0147"/>
    <w:rsid w:val="1EFF100B"/>
    <w:rsid w:val="1F1D59F0"/>
    <w:rsid w:val="21CC1456"/>
    <w:rsid w:val="22550787"/>
    <w:rsid w:val="25137D68"/>
    <w:rsid w:val="263C6EBE"/>
    <w:rsid w:val="26F46D61"/>
    <w:rsid w:val="284A5BF2"/>
    <w:rsid w:val="29C16C6A"/>
    <w:rsid w:val="29DF02C5"/>
    <w:rsid w:val="2A277FBA"/>
    <w:rsid w:val="2B461F65"/>
    <w:rsid w:val="2B9E5196"/>
    <w:rsid w:val="2C516F87"/>
    <w:rsid w:val="2C753719"/>
    <w:rsid w:val="2D231FEB"/>
    <w:rsid w:val="2D66027E"/>
    <w:rsid w:val="2FD10C3E"/>
    <w:rsid w:val="305B4673"/>
    <w:rsid w:val="30CE09BD"/>
    <w:rsid w:val="31C6061F"/>
    <w:rsid w:val="325564AA"/>
    <w:rsid w:val="32DD00BD"/>
    <w:rsid w:val="337317F3"/>
    <w:rsid w:val="349F3C3A"/>
    <w:rsid w:val="379573AA"/>
    <w:rsid w:val="386B654E"/>
    <w:rsid w:val="391352A9"/>
    <w:rsid w:val="3ADD2861"/>
    <w:rsid w:val="3AFA4815"/>
    <w:rsid w:val="3D297853"/>
    <w:rsid w:val="40B04F93"/>
    <w:rsid w:val="415428C2"/>
    <w:rsid w:val="423B28CA"/>
    <w:rsid w:val="428D21EB"/>
    <w:rsid w:val="4452544F"/>
    <w:rsid w:val="45D17096"/>
    <w:rsid w:val="46B032DF"/>
    <w:rsid w:val="49A67CE8"/>
    <w:rsid w:val="4B911789"/>
    <w:rsid w:val="4CC14FB3"/>
    <w:rsid w:val="4D3B6B8F"/>
    <w:rsid w:val="4D94490D"/>
    <w:rsid w:val="4DAD2FA1"/>
    <w:rsid w:val="4DDB6E2C"/>
    <w:rsid w:val="4E9C06D0"/>
    <w:rsid w:val="51C0523D"/>
    <w:rsid w:val="520E4E41"/>
    <w:rsid w:val="58D27289"/>
    <w:rsid w:val="58EF2A7D"/>
    <w:rsid w:val="5A50498B"/>
    <w:rsid w:val="5C77642F"/>
    <w:rsid w:val="5CED668D"/>
    <w:rsid w:val="5E751D15"/>
    <w:rsid w:val="5F1D6839"/>
    <w:rsid w:val="60CF2535"/>
    <w:rsid w:val="635B684E"/>
    <w:rsid w:val="68932D56"/>
    <w:rsid w:val="68B26099"/>
    <w:rsid w:val="697C6D68"/>
    <w:rsid w:val="6B4C4B7D"/>
    <w:rsid w:val="6B5F69B6"/>
    <w:rsid w:val="6EF66C78"/>
    <w:rsid w:val="6FF2151A"/>
    <w:rsid w:val="706D666D"/>
    <w:rsid w:val="71894BD7"/>
    <w:rsid w:val="726258D5"/>
    <w:rsid w:val="73B232F5"/>
    <w:rsid w:val="74994EC2"/>
    <w:rsid w:val="74EF7DD6"/>
    <w:rsid w:val="757B108B"/>
    <w:rsid w:val="757B7956"/>
    <w:rsid w:val="77B41AFA"/>
    <w:rsid w:val="77DD7782"/>
    <w:rsid w:val="794F6A88"/>
    <w:rsid w:val="79871452"/>
    <w:rsid w:val="7B6A0503"/>
    <w:rsid w:val="7B802328"/>
    <w:rsid w:val="7BCD75A4"/>
    <w:rsid w:val="7BFA72A7"/>
    <w:rsid w:val="7CA63377"/>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2022-04-08T07:17:42Z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