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kern w:val="2"/>
          <w:sz w:val="21"/>
        </w:rPr>
        <w:id w:val="536078793"/>
        <w:docPartObj>
          <w:docPartGallery w:val="Cover Pages"/>
          <w:docPartUnique/>
        </w:docPartObj>
      </w:sdtPr>
      <w:sdtEndPr>
        <w:rPr>
          <w:rFonts w:eastAsiaTheme="minorEastAsia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382412" w:rsidRPr="00434078">
            <w:trPr>
              <w:trHeight w:val="2880"/>
              <w:jc w:val="center"/>
            </w:trPr>
            <w:tc>
              <w:tcPr>
                <w:tcW w:w="5000" w:type="pct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</w:p>
            </w:tc>
          </w:tr>
          <w:tr w:rsidR="00382412" w:rsidRPr="00434078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82412" w:rsidRPr="00434078" w:rsidRDefault="006641FD" w:rsidP="000728BF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2015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年</w:t>
                    </w:r>
                    <w:r w:rsidR="00433E42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东莞</w:t>
                    </w:r>
                    <w:r w:rsidR="000728BF">
                      <w:rPr>
                        <w:rFonts w:ascii="Times New Roman" w:eastAsiaTheme="majorEastAsia" w:hAnsi="Times New Roman" w:cs="Times New Roman" w:hint="eastAsia"/>
                        <w:sz w:val="80"/>
                        <w:szCs w:val="80"/>
                      </w:rPr>
                      <w:t>市打假办</w:t>
                    </w:r>
                    <w:r w:rsidRPr="00434078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部门预算</w:t>
                    </w:r>
                  </w:p>
                </w:tc>
              </w:sdtContent>
            </w:sdt>
          </w:tr>
          <w:tr w:rsidR="00382412" w:rsidRPr="00434078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sz w:val="44"/>
                    <w:szCs w:val="44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382412" w:rsidRPr="0043407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82412" w:rsidRPr="00434078" w:rsidRDefault="00382412" w:rsidP="00382412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rPr>
              <w:rFonts w:ascii="Times New Roman" w:hAnsi="Times New Roman" w:cs="Times New Roman"/>
            </w:rPr>
          </w:pPr>
        </w:p>
        <w:p w:rsidR="00382412" w:rsidRPr="00434078" w:rsidRDefault="00382412">
          <w:pPr>
            <w:widowControl/>
            <w:jc w:val="left"/>
            <w:rPr>
              <w:rFonts w:ascii="Times New Roman" w:hAnsi="Times New Roman" w:cs="Times New Roman"/>
            </w:rPr>
          </w:pPr>
          <w:r w:rsidRPr="00434078">
            <w:rPr>
              <w:rFonts w:ascii="Times New Roman" w:hAnsi="Times New Roman" w:cs="Times New Roman"/>
            </w:rPr>
            <w:br w:type="page"/>
          </w:r>
        </w:p>
      </w:sdtContent>
    </w:sdt>
    <w:p w:rsidR="00F46C79" w:rsidRPr="00434078" w:rsidRDefault="00F46C79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目录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一、部门主要职责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二、部门预算单位构成</w:t>
      </w:r>
    </w:p>
    <w:p w:rsidR="00434078" w:rsidRPr="00434078" w:rsidRDefault="00434078" w:rsidP="0043407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三、人员情况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年财政拨款收支预算情况的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说明</w:t>
      </w:r>
    </w:p>
    <w:p w:rsidR="00156ACC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经费预算情况说明</w:t>
      </w:r>
    </w:p>
    <w:p w:rsidR="00F46C79" w:rsidRPr="00434078" w:rsidRDefault="00F46C79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一、财政拨款收支总表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二、一般公共预算支出表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三、一般公共预算基本支出表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四、一般公共预算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五、政府性基金预算支出表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六、部门收支总表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七、部门收入总表</w:t>
      </w:r>
    </w:p>
    <w:p w:rsidR="00F46C79" w:rsidRPr="00434078" w:rsidRDefault="00F46C79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八、部门支出总表</w:t>
      </w: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56ACC" w:rsidRPr="00434078" w:rsidRDefault="00156ACC" w:rsidP="00F46C79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412" w:rsidRPr="00434078" w:rsidRDefault="00382412" w:rsidP="0038241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第一部分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34078">
        <w:rPr>
          <w:rFonts w:ascii="Times New Roman" w:eastAsia="黑体" w:hAnsi="Times New Roman" w:cs="Times New Roman"/>
          <w:sz w:val="32"/>
          <w:szCs w:val="32"/>
        </w:rPr>
        <w:t>部门概况</w:t>
      </w:r>
    </w:p>
    <w:p w:rsidR="00382412" w:rsidRPr="00434078" w:rsidRDefault="00382412" w:rsidP="0038241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434078">
        <w:rPr>
          <w:rFonts w:ascii="Times New Roman" w:eastAsia="黑体" w:hAnsi="Times New Roman" w:cs="Times New Roman"/>
          <w:sz w:val="32"/>
          <w:szCs w:val="32"/>
        </w:rPr>
        <w:t>一、部门主要职责</w:t>
      </w:r>
    </w:p>
    <w:p w:rsidR="001D59BE" w:rsidRDefault="001D59BE" w:rsidP="001D59BE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东莞市打击假冒伪劣商品工作领导小组办公室</w:t>
      </w:r>
      <w:r>
        <w:rPr>
          <w:rFonts w:ascii="仿宋_GB2312" w:eastAsia="仿宋_GB2312" w:cs="仿宋_GB2312" w:hint="eastAsia"/>
          <w:sz w:val="32"/>
          <w:szCs w:val="32"/>
        </w:rPr>
        <w:t>（下简称“东莞市打假办”）</w:t>
      </w:r>
      <w:r w:rsidRPr="00F85F8C">
        <w:rPr>
          <w:rFonts w:ascii="仿宋_GB2312" w:eastAsia="仿宋_GB2312" w:cs="仿宋_GB2312" w:hint="eastAsia"/>
          <w:sz w:val="32"/>
          <w:szCs w:val="32"/>
        </w:rPr>
        <w:t>主要职能是：</w:t>
      </w:r>
    </w:p>
    <w:p w:rsidR="001D59BE" w:rsidRDefault="001D59BE" w:rsidP="001D59BE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sz w:val="32"/>
          <w:szCs w:val="32"/>
        </w:rPr>
        <w:t>（一）</w:t>
      </w: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贯彻落实国家、省、市部署的打假任务，承担东莞市打击制售假冒伪劣商品工作领导小组的日常工作，检查和督促打击制售假冒伪劣商品违法活动工作的责任落实；</w:t>
      </w:r>
    </w:p>
    <w:p w:rsidR="001D59BE" w:rsidRDefault="001D59BE" w:rsidP="001D59BE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（二）组织、协调、检查、监督、指导全市各相关的职能部门和镇（街）依法在生产领域和流通领域，开展打击制售假冒伪劣商品的违法活动；</w:t>
      </w:r>
    </w:p>
    <w:p w:rsidR="001D59BE" w:rsidRDefault="001D59BE" w:rsidP="001D59BE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（三）制订全市打击制售假冒伪劣商品违法行为的规划和年度计划，制定打假行动方案，负责全市打假工作的统计报表和总结工作；</w:t>
      </w:r>
    </w:p>
    <w:p w:rsidR="001D59BE" w:rsidRDefault="001D59BE" w:rsidP="001D59BE">
      <w:pPr>
        <w:ind w:firstLineChars="200" w:firstLine="640"/>
        <w:rPr>
          <w:rFonts w:ascii="仿宋_GB2312" w:eastAsia="仿宋_GB2312" w:cs="仿宋_GB2312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（四）接受对制假售假冒伪劣商品违法违法行为的投诉和举报，移送或依法组织、协调有关部门进行处理；</w:t>
      </w:r>
    </w:p>
    <w:p w:rsidR="001D59BE" w:rsidRPr="00F85F8C" w:rsidRDefault="001D59BE" w:rsidP="001D59BE">
      <w:pPr>
        <w:ind w:firstLineChars="200" w:firstLine="640"/>
        <w:rPr>
          <w:rFonts w:ascii="仿宋_GB2312" w:eastAsia="仿宋_GB2312" w:cs="Times New Roman"/>
          <w:color w:val="333333"/>
          <w:sz w:val="32"/>
          <w:szCs w:val="32"/>
        </w:rPr>
      </w:pPr>
      <w:r w:rsidRPr="00F85F8C">
        <w:rPr>
          <w:rFonts w:ascii="仿宋_GB2312" w:eastAsia="仿宋_GB2312" w:cs="仿宋_GB2312" w:hint="eastAsia"/>
          <w:color w:val="333333"/>
          <w:sz w:val="32"/>
          <w:szCs w:val="32"/>
        </w:rPr>
        <w:t>（五）承办市人民政府和上级打假部门交办的其他事项。</w:t>
      </w:r>
    </w:p>
    <w:p w:rsidR="00382412" w:rsidRPr="00434078" w:rsidRDefault="00382412" w:rsidP="002D71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二、部门预算单位构成</w:t>
      </w:r>
    </w:p>
    <w:p w:rsidR="001D59BE" w:rsidRPr="00F85F8C" w:rsidRDefault="001D59BE" w:rsidP="001D59B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东莞</w:t>
      </w:r>
      <w:r w:rsidRPr="00F85F8C">
        <w:rPr>
          <w:rFonts w:ascii="Times New Roman" w:eastAsia="仿宋_GB2312" w:hAnsi="Times New Roman" w:cs="仿宋_GB2312" w:hint="eastAsia"/>
          <w:sz w:val="32"/>
          <w:szCs w:val="32"/>
        </w:rPr>
        <w:t>市打假办设行政单位</w:t>
      </w:r>
      <w:r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1</w:t>
      </w:r>
      <w:r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个，其中，内设</w:t>
      </w:r>
      <w:r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1</w:t>
      </w:r>
      <w:r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个科室、</w:t>
      </w:r>
      <w:r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0</w:t>
      </w:r>
      <w:r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个派出机构；设事业单位</w:t>
      </w:r>
      <w:r w:rsidRPr="00F85F8C">
        <w:rPr>
          <w:rFonts w:ascii="黑体" w:eastAsia="黑体" w:hAnsi="Times New Roman" w:cs="黑体"/>
          <w:b/>
          <w:bCs/>
          <w:color w:val="000000"/>
          <w:sz w:val="32"/>
          <w:szCs w:val="32"/>
        </w:rPr>
        <w:t>0</w:t>
      </w:r>
      <w:r w:rsidRPr="00F85F8C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个</w:t>
      </w:r>
      <w:r w:rsidRPr="00F85F8C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E22E67" w:rsidRPr="00434078" w:rsidRDefault="00E22E67" w:rsidP="00E22E67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本份部门预算仅包括</w:t>
      </w:r>
      <w:r w:rsidR="002D71CC">
        <w:rPr>
          <w:rFonts w:ascii="Times New Roman" w:eastAsia="仿宋_GB2312" w:hAnsi="Times New Roman" w:cs="Times New Roman" w:hint="eastAsia"/>
          <w:sz w:val="32"/>
          <w:szCs w:val="32"/>
        </w:rPr>
        <w:t>东莞质监局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本级预算，本部门的下属单位单独编列预算。</w:t>
      </w:r>
    </w:p>
    <w:p w:rsidR="00156ACC" w:rsidRPr="00434078" w:rsidRDefault="00156ACC" w:rsidP="00156AC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三、人员情况</w:t>
      </w:r>
    </w:p>
    <w:p w:rsidR="00156ACC" w:rsidRPr="004D05BA" w:rsidRDefault="00156ACC" w:rsidP="00156AC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lastRenderedPageBreak/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年，东莞</w:t>
      </w:r>
      <w:r w:rsidRPr="002D71CC"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 w:rsidR="002D71CC" w:rsidRPr="002D71CC">
        <w:rPr>
          <w:rFonts w:ascii="仿宋_GB2312" w:eastAsia="仿宋_GB2312" w:hAnsi="Times New Roman" w:cs="Times New Roman" w:hint="eastAsia"/>
          <w:sz w:val="32"/>
          <w:szCs w:val="32"/>
        </w:rPr>
        <w:t>质监局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共有行政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/事业编制数</w:t>
      </w:r>
      <w:r w:rsidR="001D59BE"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名，其中财政供养的编内实有在职人员</w:t>
      </w:r>
      <w:r w:rsidR="001D59B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="001D59BE" w:rsidRPr="004D114D">
        <w:rPr>
          <w:rFonts w:ascii="仿宋_GB2312" w:eastAsia="仿宋_GB2312" w:cs="仿宋_GB2312" w:hint="eastAsia"/>
          <w:sz w:val="32"/>
          <w:szCs w:val="32"/>
        </w:rPr>
        <w:t>（</w:t>
      </w:r>
      <w:r w:rsidR="001D59BE" w:rsidRPr="004D114D">
        <w:rPr>
          <w:rFonts w:ascii="仿宋_GB2312" w:eastAsia="仿宋_GB2312" w:hAnsi="仿宋" w:cs="仿宋_GB2312"/>
          <w:sz w:val="32"/>
          <w:szCs w:val="32"/>
        </w:rPr>
        <w:t>2011</w:t>
      </w:r>
      <w:r w:rsidR="001D59BE" w:rsidRPr="004D114D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1D59BE" w:rsidRPr="004D114D">
        <w:rPr>
          <w:rFonts w:ascii="仿宋_GB2312" w:eastAsia="仿宋_GB2312" w:hAnsi="仿宋" w:cs="仿宋_GB2312"/>
          <w:sz w:val="32"/>
          <w:szCs w:val="32"/>
        </w:rPr>
        <w:t>12</w:t>
      </w:r>
      <w:r w:rsidR="001D59BE" w:rsidRPr="004D114D">
        <w:rPr>
          <w:rFonts w:ascii="仿宋_GB2312" w:eastAsia="仿宋_GB2312" w:hAnsi="仿宋" w:cs="仿宋_GB2312" w:hint="eastAsia"/>
          <w:sz w:val="32"/>
          <w:szCs w:val="32"/>
        </w:rPr>
        <w:t>月，我办根据东军转</w:t>
      </w:r>
      <w:r w:rsidR="001D59BE" w:rsidRPr="004D114D">
        <w:rPr>
          <w:rFonts w:ascii="仿宋_GB2312" w:eastAsia="仿宋_GB2312" w:hAnsi="宋体" w:cs="仿宋_GB2312"/>
          <w:sz w:val="32"/>
          <w:szCs w:val="32"/>
        </w:rPr>
        <w:t>[2011]106</w:t>
      </w:r>
      <w:r w:rsidR="001D59BE" w:rsidRPr="004D114D">
        <w:rPr>
          <w:rFonts w:ascii="仿宋_GB2312" w:eastAsia="仿宋_GB2312" w:hAnsi="宋体" w:cs="仿宋_GB2312" w:hint="eastAsia"/>
          <w:sz w:val="32"/>
          <w:szCs w:val="32"/>
        </w:rPr>
        <w:t>号文件要求接收</w:t>
      </w:r>
      <w:r w:rsidR="001D59BE" w:rsidRPr="004D114D">
        <w:rPr>
          <w:rFonts w:ascii="仿宋_GB2312" w:eastAsia="仿宋_GB2312" w:hAnsi="宋体" w:cs="仿宋_GB2312"/>
          <w:sz w:val="32"/>
          <w:szCs w:val="32"/>
        </w:rPr>
        <w:t>1</w:t>
      </w:r>
      <w:r w:rsidR="001D59BE" w:rsidRPr="004D114D">
        <w:rPr>
          <w:rFonts w:ascii="仿宋_GB2312" w:eastAsia="仿宋_GB2312" w:hAnsi="宋体" w:cs="仿宋_GB2312" w:hint="eastAsia"/>
          <w:sz w:val="32"/>
          <w:szCs w:val="32"/>
        </w:rPr>
        <w:t>名军转干部，但并未增加人员编制</w:t>
      </w:r>
      <w:r w:rsidR="001D59BE" w:rsidRPr="004D114D">
        <w:rPr>
          <w:rFonts w:ascii="仿宋_GB2312" w:eastAsia="仿宋_GB2312" w:cs="仿宋_GB2312" w:hint="eastAsia"/>
          <w:sz w:val="32"/>
          <w:szCs w:val="32"/>
        </w:rPr>
        <w:t>）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。另外，有离退休</w:t>
      </w:r>
      <w:r w:rsidR="001D59BE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人，聘用人员</w:t>
      </w:r>
      <w:r w:rsidR="001D59BE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人，后勤服务人员</w:t>
      </w:r>
      <w:r w:rsidR="004D05BA" w:rsidRPr="004D05BA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4D05BA">
        <w:rPr>
          <w:rFonts w:ascii="仿宋_GB2312" w:eastAsia="仿宋_GB2312" w:hAnsi="Times New Roman" w:cs="Times New Roman" w:hint="eastAsia"/>
          <w:sz w:val="32"/>
          <w:szCs w:val="32"/>
        </w:rPr>
        <w:t>人。</w:t>
      </w:r>
    </w:p>
    <w:bookmarkEnd w:id="0"/>
    <w:p w:rsidR="00EB2B04" w:rsidRDefault="00EB2B04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Default="001D59BE" w:rsidP="00DF26D6">
      <w:pPr>
        <w:jc w:val="center"/>
        <w:rPr>
          <w:rFonts w:ascii="仿宋_GB2312" w:eastAsia="仿宋_GB2312" w:hAnsi="Times New Roman" w:hint="eastAsia"/>
          <w:sz w:val="32"/>
          <w:szCs w:val="32"/>
        </w:rPr>
      </w:pPr>
    </w:p>
    <w:p w:rsidR="001D59BE" w:rsidRPr="001D59BE" w:rsidRDefault="001D59BE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DF26D6" w:rsidRPr="00434078" w:rsidRDefault="00DF26D6" w:rsidP="00DF26D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第二部分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</w:t>
      </w:r>
      <w:r w:rsidR="004A1C5C" w:rsidRPr="00434078">
        <w:rPr>
          <w:rFonts w:ascii="Times New Roman" w:eastAsia="黑体" w:hAnsi="Times New Roman" w:cs="Times New Roman"/>
          <w:sz w:val="32"/>
          <w:szCs w:val="32"/>
        </w:rPr>
        <w:t>情况说明</w:t>
      </w:r>
    </w:p>
    <w:p w:rsidR="004A1C5C" w:rsidRPr="00434078" w:rsidRDefault="004A1C5C" w:rsidP="00F46C7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一、</w:t>
      </w:r>
      <w:r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年财政拨款收支预算情况的说明</w:t>
      </w:r>
    </w:p>
    <w:p w:rsidR="00156ACC" w:rsidRPr="00434078" w:rsidRDefault="00156AC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（一）总体说明</w:t>
      </w:r>
    </w:p>
    <w:p w:rsidR="008D6AFE" w:rsidRPr="00434078" w:rsidRDefault="004A1C5C" w:rsidP="008D6AF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年财政拨款收支总预算</w:t>
      </w:r>
      <w:r w:rsidR="00374642" w:rsidRPr="00374642">
        <w:rPr>
          <w:rFonts w:ascii="黑体" w:eastAsia="黑体" w:hAnsi="Times New Roman" w:cs="黑体"/>
          <w:bCs/>
          <w:color w:val="000000"/>
          <w:sz w:val="32"/>
          <w:szCs w:val="32"/>
        </w:rPr>
        <w:t>191.05</w:t>
      </w:r>
      <w:r w:rsidRPr="00374642">
        <w:rPr>
          <w:rFonts w:ascii="Times New Roman" w:eastAsia="仿宋_GB2312" w:hAnsi="Times New Roman" w:cs="Times New Roman"/>
          <w:sz w:val="32"/>
          <w:szCs w:val="32"/>
        </w:rPr>
        <w:t>万元。收入方面：一般公共预算</w:t>
      </w:r>
      <w:r w:rsidR="008D6AFE" w:rsidRPr="00374642">
        <w:rPr>
          <w:rFonts w:ascii="Times New Roman" w:eastAsia="仿宋_GB2312" w:hAnsi="Times New Roman" w:cs="Times New Roman"/>
          <w:sz w:val="32"/>
          <w:szCs w:val="32"/>
        </w:rPr>
        <w:t>财政</w:t>
      </w:r>
      <w:r w:rsidRPr="00374642">
        <w:rPr>
          <w:rFonts w:ascii="Times New Roman" w:eastAsia="仿宋_GB2312" w:hAnsi="Times New Roman" w:cs="Times New Roman"/>
          <w:sz w:val="32"/>
          <w:szCs w:val="32"/>
        </w:rPr>
        <w:t>拨款</w:t>
      </w:r>
      <w:r w:rsidR="00374642" w:rsidRPr="00374642">
        <w:rPr>
          <w:rFonts w:ascii="黑体" w:eastAsia="黑体" w:hAnsi="Times New Roman" w:cs="黑体"/>
          <w:bCs/>
          <w:color w:val="000000"/>
          <w:sz w:val="32"/>
          <w:szCs w:val="32"/>
        </w:rPr>
        <w:t>191.05</w:t>
      </w:r>
      <w:r w:rsidRPr="00374642">
        <w:rPr>
          <w:rFonts w:ascii="Times New Roman" w:eastAsia="仿宋_GB2312" w:hAnsi="Times New Roman" w:cs="Times New Roman"/>
          <w:sz w:val="32"/>
          <w:szCs w:val="32"/>
        </w:rPr>
        <w:t>万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元，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其中，本年收入</w:t>
      </w:r>
      <w:r w:rsidR="00374642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万元，年初结转</w:t>
      </w:r>
      <w:r w:rsidR="00C93918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2F6A84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。支出方面，一般公共服务支出</w:t>
      </w:r>
      <w:r w:rsidR="00374642">
        <w:rPr>
          <w:rFonts w:ascii="Times New Roman" w:eastAsia="仿宋_GB2312" w:hAnsi="Times New Roman" w:cs="Times New Roman" w:hint="eastAsia"/>
          <w:sz w:val="32"/>
          <w:szCs w:val="32"/>
        </w:rPr>
        <w:t>191.05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8D6AFE" w:rsidRPr="00434078" w:rsidRDefault="00156ACC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（二）</w:t>
      </w:r>
      <w:r w:rsidR="008D6AFE"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一般公共预算当年财政拨款情况说明</w:t>
      </w:r>
    </w:p>
    <w:p w:rsidR="00256189" w:rsidRPr="00434078" w:rsidRDefault="008D6AFE" w:rsidP="00156AC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本部门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年一般公共预算当年财政拨款</w:t>
      </w:r>
      <w:r w:rsidR="002F6A84">
        <w:rPr>
          <w:rFonts w:ascii="Times New Roman" w:eastAsia="仿宋_GB2312" w:hAnsi="Times New Roman" w:cs="Times New Roman" w:hint="eastAsia"/>
          <w:sz w:val="32"/>
          <w:szCs w:val="32"/>
        </w:rPr>
        <w:t>191.05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万元。从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一般公共预算当年财政拨款结构情况</w:t>
      </w:r>
      <w:r w:rsidR="00156ACC" w:rsidRPr="00434078">
        <w:rPr>
          <w:rFonts w:ascii="Times New Roman" w:eastAsia="仿宋_GB2312" w:hAnsi="Times New Roman" w:cs="Times New Roman"/>
          <w:sz w:val="32"/>
          <w:szCs w:val="32"/>
        </w:rPr>
        <w:t>，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一般公共服务支出</w:t>
      </w:r>
      <w:r w:rsidR="002F6A84">
        <w:rPr>
          <w:rFonts w:ascii="Times New Roman" w:eastAsia="仿宋_GB2312" w:hAnsi="Times New Roman" w:cs="Times New Roman" w:hint="eastAsia"/>
          <w:sz w:val="32"/>
          <w:szCs w:val="32"/>
        </w:rPr>
        <w:t>191.05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万元，占</w:t>
      </w:r>
      <w:r w:rsidR="002F6A84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256189" w:rsidRPr="00434078">
        <w:rPr>
          <w:rFonts w:ascii="Times New Roman" w:eastAsia="仿宋_GB2312" w:hAnsi="Times New Roman" w:cs="Times New Roman"/>
          <w:sz w:val="32"/>
          <w:szCs w:val="32"/>
        </w:rPr>
        <w:t>%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56189" w:rsidRPr="00434078" w:rsidRDefault="007171AD" w:rsidP="007171A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t>二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、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2015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年一般公共预算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“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三公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”</w:t>
      </w:r>
      <w:r w:rsidR="00256189" w:rsidRPr="00434078">
        <w:rPr>
          <w:rFonts w:ascii="Times New Roman" w:eastAsia="黑体" w:hAnsi="Times New Roman" w:cs="Times New Roman"/>
          <w:sz w:val="32"/>
          <w:szCs w:val="32"/>
        </w:rPr>
        <w:t>经费预算情况说明</w:t>
      </w:r>
    </w:p>
    <w:p w:rsidR="00D37959" w:rsidRPr="00386C13" w:rsidRDefault="00256189" w:rsidP="00D3795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本部门2015年“三公”经费预算数为</w:t>
      </w:r>
      <w:r w:rsidR="00EF48BD">
        <w:rPr>
          <w:rFonts w:ascii="仿宋_GB2312" w:eastAsia="仿宋_GB2312" w:hAnsi="Times New Roman" w:cs="Times New Roman" w:hint="eastAsia"/>
          <w:sz w:val="32"/>
          <w:szCs w:val="32"/>
        </w:rPr>
        <w:t>191.05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万元，其中：因公出国（境）费用</w:t>
      </w:r>
      <w:r w:rsidR="00EF48B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万元，公车购置费</w:t>
      </w:r>
      <w:r w:rsidR="00EF48B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万元，公车运行维护费</w:t>
      </w:r>
      <w:r w:rsidR="00EF48BD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万元，公务接待费</w:t>
      </w:r>
      <w:r w:rsidR="00EF48B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386C13">
        <w:rPr>
          <w:rFonts w:ascii="仿宋_GB2312" w:eastAsia="仿宋_GB2312" w:hAnsi="Times New Roman" w:cs="Times New Roman" w:hint="eastAsia"/>
          <w:sz w:val="32"/>
          <w:szCs w:val="32"/>
        </w:rPr>
        <w:t>万元。</w:t>
      </w:r>
    </w:p>
    <w:p w:rsidR="005A6935" w:rsidRDefault="00256189" w:rsidP="00EF48B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经费预算比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34078">
        <w:rPr>
          <w:rFonts w:ascii="Times New Roman" w:eastAsia="仿宋_GB2312" w:hAnsi="Times New Roman" w:cs="Times New Roman"/>
          <w:sz w:val="32"/>
          <w:szCs w:val="32"/>
        </w:rPr>
        <w:t>经费预算</w:t>
      </w:r>
      <w:r w:rsidR="00EF48BD">
        <w:rPr>
          <w:rFonts w:ascii="Times New Roman" w:eastAsia="仿宋_GB2312" w:hAnsi="Times New Roman" w:cs="Times New Roman" w:hint="eastAsia"/>
          <w:sz w:val="32"/>
          <w:szCs w:val="32"/>
        </w:rPr>
        <w:t>相比，无变化</w:t>
      </w:r>
      <w:r w:rsidR="00EF48BD">
        <w:rPr>
          <w:rFonts w:ascii="Times New Roman" w:eastAsia="仿宋_GB2312" w:hAnsi="Times New Roman" w:cs="Times New Roman"/>
          <w:sz w:val="32"/>
          <w:szCs w:val="32"/>
        </w:rPr>
        <w:t>，</w:t>
      </w:r>
      <w:r w:rsidR="00EF48BD">
        <w:rPr>
          <w:rFonts w:ascii="Times New Roman" w:eastAsia="仿宋_GB2312" w:hAnsi="Times New Roman" w:cs="Times New Roman" w:hint="eastAsia"/>
          <w:sz w:val="32"/>
          <w:szCs w:val="32"/>
        </w:rPr>
        <w:t>主要原因是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因公出国（境）费用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预算和决算均是</w:t>
      </w:r>
      <w:r w:rsidR="00EF48B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A6935">
        <w:rPr>
          <w:rFonts w:ascii="Times New Roman" w:eastAsia="仿宋_GB2312" w:hAnsi="Times New Roman" w:cs="Times New Roman" w:hint="eastAsia"/>
          <w:sz w:val="32"/>
          <w:szCs w:val="32"/>
        </w:rPr>
        <w:t>万元，无变化</w:t>
      </w:r>
      <w:r w:rsidR="006641FD" w:rsidRPr="004340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B2B04" w:rsidRPr="00434078" w:rsidRDefault="00EB2B04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171AD" w:rsidRPr="00434078" w:rsidRDefault="007171AD" w:rsidP="007171A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34078">
        <w:rPr>
          <w:rFonts w:ascii="Times New Roman" w:eastAsia="黑体" w:hAnsi="Times New Roman" w:cs="Times New Roman"/>
          <w:sz w:val="32"/>
          <w:szCs w:val="32"/>
        </w:rPr>
        <w:lastRenderedPageBreak/>
        <w:t>第三部分</w:t>
      </w:r>
      <w:r w:rsidRPr="00434078">
        <w:rPr>
          <w:rFonts w:ascii="Times New Roman" w:eastAsia="黑体" w:hAnsi="Times New Roman" w:cs="Times New Roman"/>
          <w:sz w:val="32"/>
          <w:szCs w:val="32"/>
        </w:rPr>
        <w:t xml:space="preserve"> 2015</w:t>
      </w:r>
      <w:r w:rsidRPr="00434078">
        <w:rPr>
          <w:rFonts w:ascii="Times New Roman" w:eastAsia="黑体" w:hAnsi="Times New Roman" w:cs="Times New Roman"/>
          <w:sz w:val="32"/>
          <w:szCs w:val="32"/>
        </w:rPr>
        <w:t>年部门预算表</w:t>
      </w: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34078">
        <w:rPr>
          <w:rFonts w:ascii="Times New Roman" w:eastAsia="仿宋_GB2312" w:hAnsi="Times New Roman" w:cs="Times New Roman"/>
          <w:sz w:val="32"/>
          <w:szCs w:val="32"/>
        </w:rPr>
        <w:t>详见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预算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表</w:t>
      </w:r>
      <w:r w:rsidR="007171AD" w:rsidRPr="00434078">
        <w:rPr>
          <w:rFonts w:ascii="Times New Roman" w:eastAsia="仿宋_GB2312" w:hAnsi="Times New Roman" w:cs="Times New Roman"/>
          <w:sz w:val="32"/>
          <w:szCs w:val="32"/>
        </w:rPr>
        <w:t>1-8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，请</w:t>
      </w:r>
      <w:r w:rsidR="00434078">
        <w:rPr>
          <w:rFonts w:ascii="Times New Roman" w:eastAsia="仿宋_GB2312" w:hAnsi="Times New Roman" w:cs="Times New Roman" w:hint="eastAsia"/>
          <w:sz w:val="32"/>
          <w:szCs w:val="32"/>
        </w:rPr>
        <w:t>参见</w:t>
      </w:r>
      <w:r w:rsidR="00E22E67" w:rsidRPr="00434078">
        <w:rPr>
          <w:rFonts w:ascii="Times New Roman" w:eastAsia="仿宋_GB2312" w:hAnsi="Times New Roman" w:cs="Times New Roman"/>
          <w:sz w:val="32"/>
          <w:szCs w:val="32"/>
        </w:rPr>
        <w:t>附件。</w:t>
      </w:r>
    </w:p>
    <w:tbl>
      <w:tblPr>
        <w:tblStyle w:val="a7"/>
        <w:tblW w:w="0" w:type="auto"/>
        <w:tblLook w:val="04A0"/>
      </w:tblPr>
      <w:tblGrid>
        <w:gridCol w:w="1951"/>
        <w:gridCol w:w="6571"/>
      </w:tblGrid>
      <w:tr w:rsidR="00EB2B04" w:rsidRPr="00434078" w:rsidTr="00EB2B04">
        <w:tc>
          <w:tcPr>
            <w:tcW w:w="195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表号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表名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财政拨款收支总表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一般公共预算基本支出表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一般公共预算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三公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经费支出表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政府性基金预算支出表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部门收支总表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571" w:type="dxa"/>
          </w:tcPr>
          <w:p w:rsidR="00EB2B04" w:rsidRPr="00434078" w:rsidRDefault="00EB2B04" w:rsidP="00EB2B04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部门收入总表</w:t>
            </w:r>
          </w:p>
        </w:tc>
      </w:tr>
      <w:tr w:rsidR="00EB2B04" w:rsidRPr="00434078" w:rsidTr="00EB2B04">
        <w:tc>
          <w:tcPr>
            <w:tcW w:w="1951" w:type="dxa"/>
          </w:tcPr>
          <w:p w:rsidR="00EB2B04" w:rsidRPr="00434078" w:rsidRDefault="00434078" w:rsidP="00EB2B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预算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="00EB2B04"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571" w:type="dxa"/>
          </w:tcPr>
          <w:p w:rsidR="00EB2B04" w:rsidRPr="00434078" w:rsidRDefault="00EB2B04" w:rsidP="00EF4856">
            <w:pPr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34078">
              <w:rPr>
                <w:rFonts w:ascii="Times New Roman" w:eastAsia="仿宋_GB2312" w:hAnsi="Times New Roman" w:cs="Times New Roman"/>
                <w:sz w:val="32"/>
                <w:szCs w:val="32"/>
              </w:rPr>
              <w:t>部门支出总表</w:t>
            </w:r>
          </w:p>
        </w:tc>
      </w:tr>
    </w:tbl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B2B04" w:rsidRPr="00434078" w:rsidRDefault="00EB2B04" w:rsidP="00EB2B04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6C79" w:rsidRPr="00434078" w:rsidRDefault="00F46C79" w:rsidP="00645FE2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46C79" w:rsidRPr="00434078" w:rsidSect="00382412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FE" w:rsidRDefault="00FA3DFE" w:rsidP="007171AD">
      <w:r>
        <w:separator/>
      </w:r>
    </w:p>
  </w:endnote>
  <w:endnote w:type="continuationSeparator" w:id="0">
    <w:p w:rsidR="00FA3DFE" w:rsidRDefault="00FA3DFE" w:rsidP="007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FE" w:rsidRDefault="00FA3DFE" w:rsidP="007171AD">
      <w:r>
        <w:separator/>
      </w:r>
    </w:p>
  </w:footnote>
  <w:footnote w:type="continuationSeparator" w:id="0">
    <w:p w:rsidR="00FA3DFE" w:rsidRDefault="00FA3DFE" w:rsidP="0071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412"/>
    <w:rsid w:val="00071606"/>
    <w:rsid w:val="000728BF"/>
    <w:rsid w:val="000D6C81"/>
    <w:rsid w:val="001519AD"/>
    <w:rsid w:val="00156ACC"/>
    <w:rsid w:val="0016144D"/>
    <w:rsid w:val="00180F1F"/>
    <w:rsid w:val="001D59BE"/>
    <w:rsid w:val="00203959"/>
    <w:rsid w:val="00203FBC"/>
    <w:rsid w:val="00216625"/>
    <w:rsid w:val="002300D7"/>
    <w:rsid w:val="00256189"/>
    <w:rsid w:val="00277D8E"/>
    <w:rsid w:val="002B5CF3"/>
    <w:rsid w:val="002D71CC"/>
    <w:rsid w:val="002E7906"/>
    <w:rsid w:val="002F04EF"/>
    <w:rsid w:val="002F6A84"/>
    <w:rsid w:val="00326CB1"/>
    <w:rsid w:val="003402E4"/>
    <w:rsid w:val="00347B34"/>
    <w:rsid w:val="00374642"/>
    <w:rsid w:val="003809AC"/>
    <w:rsid w:val="00381456"/>
    <w:rsid w:val="00382412"/>
    <w:rsid w:val="00386C13"/>
    <w:rsid w:val="0041378F"/>
    <w:rsid w:val="00433E42"/>
    <w:rsid w:val="00434078"/>
    <w:rsid w:val="00451C48"/>
    <w:rsid w:val="00470393"/>
    <w:rsid w:val="004A1C5C"/>
    <w:rsid w:val="004A2B86"/>
    <w:rsid w:val="004D05BA"/>
    <w:rsid w:val="004D41C0"/>
    <w:rsid w:val="004E37FD"/>
    <w:rsid w:val="005156A2"/>
    <w:rsid w:val="00521DC7"/>
    <w:rsid w:val="00550794"/>
    <w:rsid w:val="00592CE7"/>
    <w:rsid w:val="005A6935"/>
    <w:rsid w:val="005F1CEA"/>
    <w:rsid w:val="00645FE2"/>
    <w:rsid w:val="00647005"/>
    <w:rsid w:val="006641FD"/>
    <w:rsid w:val="00671B7E"/>
    <w:rsid w:val="00681FB1"/>
    <w:rsid w:val="006972BA"/>
    <w:rsid w:val="006B03BF"/>
    <w:rsid w:val="00702D73"/>
    <w:rsid w:val="00712D1F"/>
    <w:rsid w:val="007171AD"/>
    <w:rsid w:val="00744C8D"/>
    <w:rsid w:val="007822D5"/>
    <w:rsid w:val="007937E4"/>
    <w:rsid w:val="007C2217"/>
    <w:rsid w:val="007E292D"/>
    <w:rsid w:val="00806DEA"/>
    <w:rsid w:val="008206E1"/>
    <w:rsid w:val="008408EC"/>
    <w:rsid w:val="00883E5C"/>
    <w:rsid w:val="008903A2"/>
    <w:rsid w:val="008B4575"/>
    <w:rsid w:val="008B4720"/>
    <w:rsid w:val="008D1C3E"/>
    <w:rsid w:val="008D6AFE"/>
    <w:rsid w:val="00902728"/>
    <w:rsid w:val="00915EA7"/>
    <w:rsid w:val="009A1C21"/>
    <w:rsid w:val="009B5280"/>
    <w:rsid w:val="009C339A"/>
    <w:rsid w:val="009C379C"/>
    <w:rsid w:val="00A43237"/>
    <w:rsid w:val="00A7207A"/>
    <w:rsid w:val="00A941F5"/>
    <w:rsid w:val="00A95CF3"/>
    <w:rsid w:val="00B071F5"/>
    <w:rsid w:val="00B113F5"/>
    <w:rsid w:val="00B15430"/>
    <w:rsid w:val="00B329A5"/>
    <w:rsid w:val="00B73A19"/>
    <w:rsid w:val="00B7737B"/>
    <w:rsid w:val="00B81F23"/>
    <w:rsid w:val="00BD6A8F"/>
    <w:rsid w:val="00C57F59"/>
    <w:rsid w:val="00C62410"/>
    <w:rsid w:val="00C76610"/>
    <w:rsid w:val="00C93918"/>
    <w:rsid w:val="00D25B82"/>
    <w:rsid w:val="00D37959"/>
    <w:rsid w:val="00D774B1"/>
    <w:rsid w:val="00DA7C17"/>
    <w:rsid w:val="00DB55CE"/>
    <w:rsid w:val="00DC3A94"/>
    <w:rsid w:val="00DF26D6"/>
    <w:rsid w:val="00DF52EA"/>
    <w:rsid w:val="00E13867"/>
    <w:rsid w:val="00E22E67"/>
    <w:rsid w:val="00E36EDD"/>
    <w:rsid w:val="00E60A59"/>
    <w:rsid w:val="00E66D5E"/>
    <w:rsid w:val="00E761C4"/>
    <w:rsid w:val="00E77156"/>
    <w:rsid w:val="00E83E39"/>
    <w:rsid w:val="00EA131A"/>
    <w:rsid w:val="00EB2B04"/>
    <w:rsid w:val="00EB2D63"/>
    <w:rsid w:val="00EF48BD"/>
    <w:rsid w:val="00F22D1F"/>
    <w:rsid w:val="00F46C79"/>
    <w:rsid w:val="00F83552"/>
    <w:rsid w:val="00FA06F8"/>
    <w:rsid w:val="00FA3DFE"/>
    <w:rsid w:val="00FA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382412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382412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3824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8241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1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171A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1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171AD"/>
    <w:rPr>
      <w:sz w:val="18"/>
      <w:szCs w:val="18"/>
    </w:rPr>
  </w:style>
  <w:style w:type="table" w:styleId="a7">
    <w:name w:val="Table Grid"/>
    <w:basedOn w:val="a1"/>
    <w:uiPriority w:val="59"/>
    <w:rsid w:val="00EB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67D8-4FFB-400F-A193-492223F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6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2015年东莞市打假办部门预算</dc:title>
  <dc:subject/>
  <dc:creator>李峰</dc:creator>
  <cp:keywords/>
  <dc:description/>
  <cp:lastModifiedBy>钟炜璋</cp:lastModifiedBy>
  <cp:revision>22</cp:revision>
  <cp:lastPrinted>2015-10-31T08:00:00Z</cp:lastPrinted>
  <dcterms:created xsi:type="dcterms:W3CDTF">2015-10-30T07:05:00Z</dcterms:created>
  <dcterms:modified xsi:type="dcterms:W3CDTF">2015-11-04T07:21:00Z</dcterms:modified>
</cp:coreProperties>
</file>