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苯甲酸及其钠盐(以苯甲酸计)</w:t>
      </w:r>
    </w:p>
    <w:p>
      <w:pPr>
        <w:numPr>
          <w:ilvl w:val="0"/>
          <w:numId w:val="0"/>
        </w:numPr>
        <w:spacing w:line="600" w:lineRule="exact"/>
        <w:rPr>
          <w:rFonts w:hint="eastAsia" w:ascii="仿宋" w:hAnsi="仿宋" w:eastAsia="仿宋" w:cs="仿宋"/>
          <w:b/>
          <w:sz w:val="32"/>
          <w:szCs w:val="32"/>
        </w:rPr>
      </w:pPr>
      <w:r>
        <w:rPr>
          <w:rFonts w:hint="eastAsia" w:ascii="仿宋" w:hAnsi="仿宋" w:eastAsia="仿宋" w:cs="仿宋"/>
          <w:b w:val="0"/>
          <w:bCs w:val="0"/>
          <w:kern w:val="2"/>
          <w:sz w:val="32"/>
          <w:szCs w:val="32"/>
          <w:lang w:val="en-US" w:eastAsia="zh-CN" w:bidi="ar-SA"/>
        </w:rPr>
        <w:t xml:space="preserve">    苯甲酸及其钠盐是食品工业中常见的一种防腐保鲜剂，对霉菌、酵母和细菌有较好的抑制作用。安全性较高，少量苯甲酸对人体无毒害，可随尿液排出体外，在人体内不会蓄积。若长期过量食入苯甲酸超标的食品可能会对肝脏功能产生一定影响。抽检不合格的原因可能是生产企业对半成品原料未进行检验，原料带入而造成苯甲酸超标；或者一些生产企业为了延长产品的保质期，在生产过程中超范围使用苯甲酸，从而导致含量超标。</w:t>
      </w:r>
    </w:p>
    <w:p>
      <w:pPr>
        <w:numPr>
          <w:ilvl w:val="0"/>
          <w:numId w:val="1"/>
        </w:num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大肠菌群</w:t>
      </w:r>
    </w:p>
    <w:p>
      <w:pPr>
        <w:numPr>
          <w:ilvl w:val="0"/>
          <w:numId w:val="0"/>
        </w:numPr>
        <w:spacing w:line="600" w:lineRule="exact"/>
        <w:rPr>
          <w:rFonts w:hint="eastAsia" w:ascii="仿宋" w:hAnsi="仿宋" w:eastAsia="仿宋" w:cs="仿宋"/>
          <w:b/>
          <w:sz w:val="32"/>
          <w:szCs w:val="32"/>
          <w:lang w:val="en-US"/>
        </w:rPr>
      </w:pPr>
      <w:r>
        <w:rPr>
          <w:rFonts w:hint="eastAsia" w:ascii="仿宋" w:hAnsi="仿宋" w:eastAsia="仿宋" w:cs="仿宋"/>
          <w:b/>
          <w:sz w:val="32"/>
          <w:szCs w:val="32"/>
          <w:lang w:val="en-US" w:eastAsia="zh-CN"/>
        </w:rPr>
        <w:t xml:space="preserve">    </w:t>
      </w:r>
      <w:r>
        <w:rPr>
          <w:rFonts w:hint="eastAsia" w:ascii="仿宋" w:hAnsi="仿宋" w:eastAsia="仿宋" w:cs="仿宋"/>
          <w:b w:val="0"/>
          <w:bCs w:val="0"/>
          <w:kern w:val="2"/>
          <w:sz w:val="32"/>
          <w:szCs w:val="32"/>
          <w:lang w:val="en-US" w:eastAsia="zh-CN" w:bidi="ar-SA"/>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由于在生产过程中产品受人员、工器具等生产设备、环境的污染等有关。</w:t>
      </w: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防腐剂混合使用时各自用量占其最大使用量的比例之和</w:t>
      </w:r>
    </w:p>
    <w:p>
      <w:pPr>
        <w:widowControl/>
        <w:shd w:val="clear" w:color="auto" w:fill="FFFFFF"/>
        <w:snapToGrid w:val="0"/>
        <w:spacing w:line="59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防腐剂是以保持食品原有品质和营养价值为目的的食品添加剂，它能抑制微生物的生长繁殖，防止食品腐败变质从而延长保质期。《食品安全国家标准 食品添加剂使用标准》（GB2760-2014）中不仅规定了我国在食品中允许添加的某一添加剂的种类、使用量或残留量，而且规定了同一功能的防腐剂在混合使用时，各自用量占其最大使用量的比例之和不应超过1。长期过量食用防腐剂超标的食品，会对人体健康造成一定影响。</w:t>
      </w:r>
    </w:p>
    <w:p>
      <w:pPr>
        <w:numPr>
          <w:ilvl w:val="0"/>
          <w:numId w:val="1"/>
        </w:num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过氧化值（以脂肪计）</w:t>
      </w:r>
    </w:p>
    <w:p>
      <w:pPr>
        <w:pStyle w:val="2"/>
        <w:spacing w:before="0" w:beforeAutospacing="0" w:after="0" w:afterAutospacing="0" w:line="600" w:lineRule="exact"/>
        <w:ind w:firstLine="640" w:firstLineChars="200"/>
        <w:rPr>
          <w:rFonts w:hint="eastAsia" w:ascii="仿宋" w:hAnsi="仿宋" w:eastAsia="仿宋" w:cs="仿宋"/>
          <w:b/>
          <w:sz w:val="32"/>
          <w:szCs w:val="32"/>
        </w:rPr>
      </w:pPr>
      <w:r>
        <w:rPr>
          <w:rFonts w:hint="eastAsia" w:ascii="仿宋" w:hAnsi="仿宋" w:eastAsia="仿宋" w:cs="仿宋"/>
          <w:b w:val="0"/>
          <w:bCs w:val="0"/>
          <w:kern w:val="2"/>
          <w:sz w:val="32"/>
          <w:szCs w:val="32"/>
        </w:rPr>
        <w:t>过氧化值主要反映油脂是否氧化变质，过氧化值升高是油脂酸败的早期指标。随着油脂氧化，过氧化值会逐步升高，一般不会影响人体健康，但过高时可能会导致肠胃不适、腹泻等症状。过氧化值超标的原因可能是产品在储存过程中环境条件控制不当，导致油脂氧化；也可能是原料中的脂肪已经氧化，原料储存不当，未采取有效的抗氧化措施，造成最终产品油脂氧化</w:t>
      </w:r>
      <w:r>
        <w:rPr>
          <w:rFonts w:hint="eastAsia" w:ascii="仿宋" w:hAnsi="仿宋" w:eastAsia="仿宋" w:cs="仿宋"/>
          <w:color w:val="000000"/>
          <w:sz w:val="32"/>
          <w:szCs w:val="32"/>
        </w:rPr>
        <w:t>。</w:t>
      </w:r>
    </w:p>
    <w:p>
      <w:pPr>
        <w:numPr>
          <w:ilvl w:val="0"/>
          <w:numId w:val="0"/>
        </w:numPr>
        <w:spacing w:line="600" w:lineRule="exact"/>
        <w:ind w:firstLine="642"/>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五、</w:t>
      </w:r>
      <w:r>
        <w:rPr>
          <w:rFonts w:hint="eastAsia" w:ascii="仿宋" w:hAnsi="仿宋" w:eastAsia="仿宋" w:cs="仿宋"/>
          <w:b/>
          <w:sz w:val="32"/>
          <w:szCs w:val="32"/>
          <w:lang w:eastAsia="zh-CN"/>
        </w:rPr>
        <w:t>菌落总数</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numPr>
          <w:ilvl w:val="0"/>
          <w:numId w:val="0"/>
        </w:numPr>
        <w:spacing w:line="600" w:lineRule="exact"/>
        <w:ind w:firstLine="642"/>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六、</w:t>
      </w:r>
      <w:r>
        <w:rPr>
          <w:rFonts w:hint="eastAsia" w:ascii="仿宋" w:hAnsi="仿宋" w:eastAsia="仿宋" w:cs="仿宋"/>
          <w:b/>
          <w:sz w:val="32"/>
          <w:szCs w:val="32"/>
          <w:lang w:eastAsia="zh-CN"/>
        </w:rPr>
        <w:t>氯霉素</w:t>
      </w:r>
    </w:p>
    <w:p>
      <w:pPr>
        <w:numPr>
          <w:ilvl w:val="0"/>
          <w:numId w:val="0"/>
        </w:numPr>
        <w:spacing w:line="600" w:lineRule="exact"/>
        <w:ind w:firstLine="642"/>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氯霉素一种杀菌剂，也是高效广谱的抗生素，对革兰氏阳性菌和革兰氏阴性菌均有较好的抑制作用。《动物性食品中兽药最高残留限量》(农业部公告第235号)中将氯霉素列入禁止使用且不得在动物性食品中检出的药物。长期微量摄入氯霉素，会使人体肠道正常菌群失调，且对人体的造血系统、消化系统具有严重的毒害性。</w:t>
      </w:r>
    </w:p>
    <w:p>
      <w:pPr>
        <w:numPr>
          <w:ilvl w:val="0"/>
          <w:numId w:val="0"/>
        </w:numPr>
        <w:spacing w:line="600" w:lineRule="exact"/>
        <w:ind w:firstLine="642"/>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七、</w:t>
      </w:r>
      <w:r>
        <w:rPr>
          <w:rFonts w:hint="eastAsia" w:ascii="仿宋" w:hAnsi="仿宋" w:eastAsia="仿宋" w:cs="仿宋"/>
          <w:b/>
          <w:sz w:val="32"/>
          <w:szCs w:val="32"/>
          <w:lang w:eastAsia="zh-CN"/>
        </w:rPr>
        <w:t>铅(以Pb计)</w:t>
      </w:r>
    </w:p>
    <w:p>
      <w:pPr>
        <w:pStyle w:val="11"/>
        <w:spacing w:line="600" w:lineRule="exact"/>
        <w:ind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铅是一种自然界中广泛存在的重金属元素，具有蓄积性。人体若长期大量摄入铅含量超标的食品，铅会蓄积在体内，可能影响神经系统、智力发育等。我国《食品安全国家标准 食品中污染物限量》（GB 2762-2017）规定豆类制品（豆浆除外）中铅限量值为0.5mg/kg（以Pb计）。</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八、</w:t>
      </w:r>
      <w:r>
        <w:rPr>
          <w:rFonts w:hint="eastAsia" w:ascii="仿宋" w:hAnsi="仿宋" w:eastAsia="仿宋" w:cs="仿宋"/>
          <w:b/>
          <w:sz w:val="32"/>
          <w:szCs w:val="32"/>
          <w:lang w:eastAsia="zh-CN"/>
        </w:rPr>
        <w:t>酸价（以脂肪计）</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 xml:space="preserve">    酸价是脂肪中游离脂肪酸含量的标志，反映了油脂酸败的程度。酸价略有升高不会对人体的健康产生损害，但如果酸价过高，则会导致人体肠胃不适、腹泻等。酸价超标的可能原因是生产厂家加工过程控制不当；又或者是使用了酸败的油等原料导致。消费者在食用过程中，如辨别出有哈喇等异味，应避免食用。</w:t>
      </w:r>
      <w:bookmarkStart w:id="0" w:name="_GoBack"/>
      <w:bookmarkEnd w:id="0"/>
    </w:p>
    <w:p>
      <w:pPr>
        <w:adjustRightInd w:val="0"/>
        <w:snapToGrid w:val="0"/>
        <w:spacing w:line="600" w:lineRule="exact"/>
        <w:ind w:firstLine="640" w:firstLineChars="200"/>
        <w:rPr>
          <w:rFonts w:hint="eastAsia" w:ascii="仿宋" w:hAnsi="仿宋" w:eastAsia="仿宋" w:cs="仿宋"/>
          <w:b w:val="0"/>
          <w:bCs w:val="0"/>
          <w:kern w:val="2"/>
          <w:sz w:val="32"/>
          <w:szCs w:val="32"/>
          <w:lang w:val="en-US" w:eastAsia="zh-CN" w:bidi="ar-SA"/>
        </w:rPr>
      </w:pPr>
    </w:p>
    <w:p>
      <w:pPr>
        <w:spacing w:line="600" w:lineRule="exact"/>
        <w:ind w:firstLine="643" w:firstLineChars="200"/>
        <w:rPr>
          <w:rFonts w:hint="eastAsia" w:ascii="Calibri" w:hAnsi="Calibri" w:eastAsia="仿宋_GB2312" w:cs="Times New Roman"/>
          <w:b w:val="0"/>
          <w:bCs w:val="0"/>
          <w:kern w:val="2"/>
          <w:sz w:val="32"/>
          <w:szCs w:val="32"/>
          <w:lang w:val="en-US" w:eastAsia="zh-CN" w:bidi="ar-SA"/>
        </w:rPr>
      </w:pPr>
      <w:r>
        <w:rPr>
          <w:rFonts w:hint="eastAsia" w:ascii="仿宋" w:hAnsi="仿宋" w:eastAsia="仿宋" w:cs="仿宋"/>
          <w:b w:val="0"/>
          <w:bCs w:val="0"/>
          <w:kern w:val="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FangSong_GB2312">
    <w:altName w:val="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D778C"/>
    <w:multiLevelType w:val="singleLevel"/>
    <w:tmpl w:val="5D2D77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6EFA"/>
    <w:rsid w:val="004B6EFA"/>
    <w:rsid w:val="00820F31"/>
    <w:rsid w:val="00824259"/>
    <w:rsid w:val="009A15EF"/>
    <w:rsid w:val="00B67A85"/>
    <w:rsid w:val="00F421C8"/>
    <w:rsid w:val="18451B3F"/>
    <w:rsid w:val="22550787"/>
    <w:rsid w:val="290A4650"/>
    <w:rsid w:val="29DF02C5"/>
    <w:rsid w:val="391352A9"/>
    <w:rsid w:val="3AFA4815"/>
    <w:rsid w:val="68932D56"/>
    <w:rsid w:val="6EF66C78"/>
    <w:rsid w:val="73B232F5"/>
    <w:rsid w:val="757B7956"/>
    <w:rsid w:val="7B6A0503"/>
    <w:rsid w:val="7B802328"/>
    <w:rsid w:val="7E3539E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3 Char"/>
    <w:basedOn w:val="5"/>
    <w:link w:val="2"/>
    <w:qFormat/>
    <w:uiPriority w:val="9"/>
    <w:rPr>
      <w:rFonts w:ascii="宋体" w:hAnsi="宋体" w:eastAsia="宋体" w:cs="宋体"/>
      <w:b/>
      <w:bCs/>
      <w:kern w:val="0"/>
      <w:sz w:val="27"/>
      <w:szCs w:val="27"/>
    </w:rPr>
  </w:style>
  <w:style w:type="paragraph" w:customStyle="1" w:styleId="10">
    <w:name w:val="_Style 1"/>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ScaleCrop>false</ScaleCrop>
  <LinksUpToDate>false</LinksUpToDate>
  <CharactersWithSpaces>171</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刘建军</cp:lastModifiedBy>
  <dcterms:modified xsi:type="dcterms:W3CDTF">2019-09-05T02:44:04Z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