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附件4</w:t>
      </w:r>
    </w:p>
    <w:p>
      <w:pPr>
        <w:spacing w:line="600" w:lineRule="exact"/>
        <w:jc w:val="center"/>
        <w:rPr>
          <w:rFonts w:hint="eastAsia" w:ascii="仿宋_GB2312" w:hAnsi="仿宋_GB2312" w:eastAsia="仿宋_GB2312" w:cs="仿宋_GB2312"/>
          <w:color w:val="auto"/>
          <w:sz w:val="44"/>
          <w:szCs w:val="44"/>
          <w:shd w:val="clear" w:color="auto" w:fill="auto"/>
        </w:rPr>
      </w:pPr>
      <w:r>
        <w:rPr>
          <w:rFonts w:hint="eastAsia" w:ascii="仿宋_GB2312" w:hAnsi="仿宋_GB2312" w:eastAsia="仿宋_GB2312" w:cs="仿宋_GB2312"/>
          <w:color w:val="auto"/>
          <w:sz w:val="44"/>
          <w:szCs w:val="44"/>
          <w:shd w:val="clear" w:color="auto" w:fill="auto"/>
        </w:rPr>
        <w:t>关于部分检验项目的说明</w:t>
      </w:r>
    </w:p>
    <w:p>
      <w:pPr>
        <w:spacing w:line="600" w:lineRule="exact"/>
        <w:ind w:firstLine="643" w:firstLineChars="200"/>
        <w:rPr>
          <w:rFonts w:hint="eastAsia" w:ascii="仿宋_GB2312" w:hAnsi="仿宋_GB2312" w:eastAsia="仿宋_GB2312" w:cs="仿宋_GB2312"/>
          <w:b/>
          <w:color w:val="auto"/>
          <w:sz w:val="32"/>
          <w:szCs w:val="32"/>
          <w:shd w:val="clear" w:color="auto" w:fill="auto"/>
        </w:rPr>
      </w:pPr>
    </w:p>
    <w:p>
      <w:pPr>
        <w:numPr>
          <w:ilvl w:val="0"/>
          <w:numId w:val="1"/>
        </w:numPr>
        <w:spacing w:line="600" w:lineRule="exact"/>
        <w:ind w:left="0" w:leftChars="0" w:firstLine="643" w:firstLineChars="200"/>
        <w:rPr>
          <w:rFonts w:hint="eastAsia" w:ascii="仿宋_GB2312" w:hAnsi="仿宋_GB2312" w:eastAsia="仿宋_GB2312" w:cs="仿宋_GB2312"/>
          <w:color w:val="auto"/>
          <w:kern w:val="0"/>
          <w:sz w:val="32"/>
          <w:szCs w:val="32"/>
          <w:shd w:val="clear" w:color="auto" w:fill="auto"/>
          <w:lang w:val="en-US" w:eastAsia="zh-CN"/>
        </w:rPr>
      </w:pPr>
      <w:r>
        <w:rPr>
          <w:rFonts w:hint="eastAsia" w:ascii="仿宋_GB2312" w:hAnsi="仿宋_GB2312" w:eastAsia="仿宋_GB2312" w:cs="仿宋_GB2312"/>
          <w:b/>
          <w:color w:val="auto"/>
          <w:sz w:val="32"/>
          <w:szCs w:val="32"/>
          <w:shd w:val="clear" w:color="auto" w:fill="auto"/>
          <w:lang w:eastAsia="zh-CN"/>
        </w:rPr>
        <w:t>铜绿假单胞菌</w:t>
      </w:r>
      <w:r>
        <w:rPr>
          <w:rFonts w:hint="eastAsia" w:ascii="仿宋_GB2312" w:hAnsi="仿宋_GB2312" w:eastAsia="仿宋_GB2312" w:cs="仿宋_GB2312"/>
          <w:b/>
          <w:color w:val="auto"/>
          <w:sz w:val="32"/>
          <w:szCs w:val="32"/>
          <w:shd w:val="clear" w:color="auto" w:fill="auto"/>
          <w:lang w:val="en-US" w:eastAsia="zh-CN"/>
        </w:rPr>
        <w:t xml:space="preserve">   </w:t>
      </w:r>
      <w:r>
        <w:rPr>
          <w:rFonts w:hint="eastAsia" w:ascii="仿宋_GB2312" w:hAnsi="仿宋_GB2312" w:eastAsia="仿宋_GB2312" w:cs="仿宋_GB2312"/>
          <w:color w:val="auto"/>
          <w:kern w:val="0"/>
          <w:sz w:val="32"/>
          <w:szCs w:val="32"/>
          <w:shd w:val="clear" w:color="auto" w:fill="auto"/>
          <w:lang w:val="en-US" w:eastAsia="zh-CN"/>
        </w:rPr>
        <w:t xml:space="preserve"> </w:t>
      </w:r>
    </w:p>
    <w:p>
      <w:pPr>
        <w:spacing w:line="560" w:lineRule="exact"/>
        <w:ind w:firstLine="640" w:firstLineChars="200"/>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铜绿假单胞菌是一种条件致病菌，广泛分布于各种水、空气、正常人的皮肤、呼吸道和肠道等，易在潮湿的环境存活，对消毒剂、紫外线等具有较强的抵抗力，对于抵抗力较弱的人群存在健康风险。本次抽检中铜绿假单胞菌超标可能是源水防护不当，水体受到污染；生产过程中卫生控制不严格，如从业人员未经消毒的手直接与矿泉水或容器内壁接触；或者是包装材料清洗消毒有缺陷所致。</w:t>
      </w:r>
    </w:p>
    <w:p>
      <w:pPr>
        <w:spacing w:line="560" w:lineRule="exact"/>
        <w:ind w:firstLine="640" w:firstLineChars="200"/>
        <w:rPr>
          <w:rFonts w:hint="eastAsia" w:ascii="仿宋_GB2312" w:hAnsi="仿宋_GB2312" w:eastAsia="仿宋_GB2312" w:cs="仿宋_GB2312"/>
          <w:color w:val="auto"/>
          <w:sz w:val="32"/>
          <w:szCs w:val="32"/>
          <w:shd w:val="clear" w:color="auto" w:fill="auto"/>
        </w:rPr>
      </w:pPr>
    </w:p>
    <w:p>
      <w:pPr>
        <w:numPr>
          <w:ilvl w:val="0"/>
          <w:numId w:val="0"/>
        </w:numPr>
        <w:spacing w:line="600" w:lineRule="exact"/>
        <w:ind w:firstLine="643" w:firstLineChars="200"/>
        <w:rPr>
          <w:rFonts w:hint="eastAsia" w:ascii="仿宋_GB2312" w:hAnsi="仿宋_GB2312" w:eastAsia="仿宋_GB2312" w:cs="仿宋_GB2312"/>
          <w:b/>
          <w:color w:val="auto"/>
          <w:sz w:val="32"/>
          <w:szCs w:val="32"/>
          <w:shd w:val="clear" w:color="auto" w:fill="auto"/>
          <w:lang w:eastAsia="zh-CN"/>
        </w:rPr>
      </w:pPr>
      <w:r>
        <w:rPr>
          <w:rFonts w:hint="eastAsia" w:ascii="仿宋_GB2312" w:hAnsi="仿宋_GB2312" w:eastAsia="仿宋_GB2312" w:cs="仿宋_GB2312"/>
          <w:b/>
          <w:color w:val="auto"/>
          <w:sz w:val="32"/>
          <w:szCs w:val="32"/>
          <w:shd w:val="clear" w:color="auto" w:fill="auto"/>
          <w:lang w:eastAsia="zh-CN"/>
        </w:rPr>
        <w:t>二、菌落总数</w:t>
      </w:r>
    </w:p>
    <w:p>
      <w:pPr>
        <w:autoSpaceDE w:val="0"/>
        <w:autoSpaceDN w:val="0"/>
        <w:adjustRightInd w:val="0"/>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菌落总数是指示性微生物指标，并非致病菌指标。主要用来评价食品清洁度，反映食品在生产过程中是否符合卫生要求。菌落总数超标说明个别企业可能未按要求严格控制生产加工过程的卫生条件，或者包装容器清洗消毒不到位；还有可能与产品包装密封不严，储运条件控制不当等有关。</w:t>
      </w:r>
    </w:p>
    <w:p>
      <w:pPr>
        <w:numPr>
          <w:ilvl w:val="0"/>
          <w:numId w:val="0"/>
        </w:numPr>
        <w:spacing w:line="600" w:lineRule="exact"/>
        <w:ind w:firstLine="643" w:firstLineChars="200"/>
        <w:rPr>
          <w:rFonts w:hint="eastAsia" w:ascii="仿宋_GB2312" w:hAnsi="仿宋_GB2312" w:eastAsia="仿宋_GB2312" w:cs="仿宋_GB2312"/>
          <w:b/>
          <w:color w:val="auto"/>
          <w:sz w:val="32"/>
          <w:szCs w:val="32"/>
          <w:shd w:val="clear" w:color="auto" w:fill="auto"/>
          <w:lang w:eastAsia="zh-CN"/>
        </w:rPr>
      </w:pPr>
    </w:p>
    <w:p>
      <w:pPr>
        <w:numPr>
          <w:ilvl w:val="0"/>
          <w:numId w:val="0"/>
        </w:numPr>
        <w:spacing w:line="600" w:lineRule="exact"/>
        <w:ind w:firstLine="643" w:firstLineChars="200"/>
        <w:rPr>
          <w:rFonts w:hint="eastAsia" w:ascii="仿宋_GB2312" w:hAnsi="仿宋_GB2312" w:eastAsia="仿宋_GB2312" w:cs="仿宋_GB2312"/>
          <w:b/>
          <w:color w:val="auto"/>
          <w:sz w:val="32"/>
          <w:szCs w:val="32"/>
          <w:shd w:val="clear" w:color="auto" w:fill="auto"/>
          <w:lang w:eastAsia="zh-CN"/>
        </w:rPr>
      </w:pPr>
      <w:r>
        <w:rPr>
          <w:rFonts w:hint="eastAsia" w:ascii="仿宋_GB2312" w:hAnsi="仿宋_GB2312" w:eastAsia="仿宋_GB2312" w:cs="仿宋_GB2312"/>
          <w:b/>
          <w:color w:val="auto"/>
          <w:sz w:val="32"/>
          <w:szCs w:val="32"/>
          <w:shd w:val="clear" w:color="auto" w:fill="auto"/>
          <w:lang w:eastAsia="zh-CN"/>
        </w:rPr>
        <w:t>三、脱氢乙酸及其钠盐(以脱氢乙酸计)</w:t>
      </w:r>
    </w:p>
    <w:p>
      <w:pPr>
        <w:pStyle w:val="11"/>
        <w:spacing w:line="600" w:lineRule="exact"/>
        <w:ind w:firstLine="640" w:firstLineChars="200"/>
        <w:jc w:val="both"/>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脱氢乙酸及其钠盐作为一种广谱食品防腐剂，可以防止细菌的生长和繁殖，尤其对霉菌的抑制作用很强，但毒性较低，按标准规定的范围和使用量使用是安全可靠的。</w:t>
      </w:r>
      <w:bookmarkStart w:id="0" w:name="_GoBack"/>
      <w:bookmarkEnd w:id="0"/>
      <w:r>
        <w:rPr>
          <w:rFonts w:hint="eastAsia" w:ascii="仿宋_GB2312" w:hAnsi="仿宋_GB2312" w:eastAsia="仿宋_GB2312" w:cs="仿宋_GB2312"/>
          <w:color w:val="auto"/>
          <w:sz w:val="32"/>
          <w:szCs w:val="32"/>
          <w:shd w:val="clear" w:color="auto" w:fill="auto"/>
        </w:rPr>
        <w:t>抽检不合格的原因可能是企业为防止食品腐败变质而延长食品的保存时间并保持原有食品的风味，而超限量使用，也有可能是对原材料（包括食品添加剂）把关不严，原料带入。</w:t>
      </w:r>
    </w:p>
    <w:p>
      <w:pPr>
        <w:pStyle w:val="11"/>
        <w:spacing w:line="600" w:lineRule="exact"/>
        <w:ind w:firstLine="643" w:firstLineChars="200"/>
        <w:jc w:val="both"/>
        <w:rPr>
          <w:rFonts w:hint="eastAsia" w:ascii="仿宋_GB2312" w:hAnsi="仿宋_GB2312" w:eastAsia="仿宋_GB2312" w:cs="仿宋_GB2312"/>
          <w:b/>
          <w:bCs/>
          <w:color w:val="auto"/>
          <w:sz w:val="32"/>
          <w:szCs w:val="32"/>
          <w:shd w:val="clear" w:color="auto" w:fill="auto"/>
          <w:lang w:eastAsia="zh-CN"/>
        </w:rPr>
      </w:pPr>
    </w:p>
    <w:p>
      <w:pPr>
        <w:numPr>
          <w:ilvl w:val="0"/>
          <w:numId w:val="0"/>
        </w:numPr>
        <w:spacing w:line="600" w:lineRule="exact"/>
        <w:ind w:firstLine="643" w:firstLineChars="200"/>
        <w:rPr>
          <w:rFonts w:hint="eastAsia" w:ascii="仿宋_GB2312" w:hAnsi="仿宋_GB2312" w:eastAsia="仿宋_GB2312" w:cs="仿宋_GB2312"/>
          <w:b/>
          <w:color w:val="auto"/>
          <w:sz w:val="32"/>
          <w:szCs w:val="32"/>
          <w:shd w:val="clear" w:color="auto" w:fill="auto"/>
          <w:lang w:eastAsia="zh-CN"/>
        </w:rPr>
      </w:pPr>
      <w:r>
        <w:rPr>
          <w:rFonts w:hint="eastAsia" w:ascii="仿宋_GB2312" w:hAnsi="仿宋_GB2312" w:eastAsia="仿宋_GB2312" w:cs="仿宋_GB2312"/>
          <w:b/>
          <w:color w:val="auto"/>
          <w:sz w:val="32"/>
          <w:szCs w:val="32"/>
          <w:shd w:val="clear" w:color="auto" w:fill="auto"/>
          <w:lang w:eastAsia="zh-CN"/>
        </w:rPr>
        <w:t>四、大肠菌群</w:t>
      </w:r>
    </w:p>
    <w:p>
      <w:pPr>
        <w:pStyle w:val="11"/>
        <w:spacing w:line="600" w:lineRule="exact"/>
        <w:ind w:firstLine="640" w:firstLineChars="200"/>
        <w:jc w:val="both"/>
        <w:rPr>
          <w:rFonts w:hint="eastAsia" w:ascii="仿宋_GB2312" w:hAnsi="仿宋_GB2312" w:eastAsia="仿宋_GB2312" w:cs="仿宋_GB2312"/>
          <w:color w:val="auto"/>
          <w:kern w:val="2"/>
          <w:sz w:val="32"/>
          <w:szCs w:val="32"/>
          <w:shd w:val="clear" w:color="auto" w:fill="auto"/>
        </w:rPr>
      </w:pPr>
      <w:r>
        <w:rPr>
          <w:rFonts w:hint="eastAsia" w:ascii="仿宋_GB2312" w:hAnsi="仿宋_GB2312" w:eastAsia="仿宋_GB2312" w:cs="仿宋_GB2312"/>
          <w:color w:val="auto"/>
          <w:kern w:val="2"/>
          <w:sz w:val="32"/>
          <w:szCs w:val="32"/>
          <w:shd w:val="clear" w:color="auto" w:fill="auto"/>
        </w:rPr>
        <w:t>大肠菌群是国内外通用的食品污染常用指示菌之一。食品中检出大肠菌群，提示被致病菌(如沙门氏菌、志贺氏菌、致病性大肠杆菌)污染的可能性较大。抽检中未检出致病菌，结合居民膳食结构、抽检情况等因素综合分析，健康风险较低，但反映该食品卫生状况不达标。大肠菌群超标可能由于产品的加工原料、包装材料受污染，或在生产过程中产品受人员、工器具等生产设备、环境的污染等有关。</w:t>
      </w:r>
    </w:p>
    <w:p>
      <w:pPr>
        <w:numPr>
          <w:ilvl w:val="0"/>
          <w:numId w:val="0"/>
        </w:numPr>
        <w:spacing w:line="600" w:lineRule="exact"/>
        <w:ind w:firstLine="643" w:firstLineChars="200"/>
        <w:rPr>
          <w:rFonts w:hint="eastAsia" w:ascii="仿宋_GB2312" w:hAnsi="仿宋_GB2312" w:eastAsia="仿宋_GB2312" w:cs="仿宋_GB2312"/>
          <w:b/>
          <w:color w:val="auto"/>
          <w:sz w:val="32"/>
          <w:szCs w:val="32"/>
          <w:shd w:val="clear" w:color="auto" w:fill="auto"/>
          <w:lang w:val="en-US" w:eastAsia="zh-CN"/>
        </w:rPr>
      </w:pPr>
    </w:p>
    <w:p>
      <w:pPr>
        <w:numPr>
          <w:ilvl w:val="0"/>
          <w:numId w:val="0"/>
        </w:numPr>
        <w:spacing w:line="600" w:lineRule="exact"/>
        <w:ind w:firstLine="643" w:firstLineChars="200"/>
        <w:rPr>
          <w:rFonts w:hint="eastAsia" w:ascii="仿宋_GB2312" w:hAnsi="仿宋_GB2312" w:eastAsia="仿宋_GB2312" w:cs="仿宋_GB2312"/>
          <w:b/>
          <w:color w:val="auto"/>
          <w:sz w:val="32"/>
          <w:szCs w:val="32"/>
          <w:shd w:val="clear" w:color="auto" w:fill="auto"/>
          <w:lang w:val="en-US" w:eastAsia="zh-CN"/>
        </w:rPr>
      </w:pPr>
      <w:r>
        <w:rPr>
          <w:rFonts w:hint="eastAsia" w:ascii="仿宋_GB2312" w:hAnsi="仿宋_GB2312" w:eastAsia="仿宋_GB2312" w:cs="仿宋_GB2312"/>
          <w:b/>
          <w:color w:val="auto"/>
          <w:sz w:val="32"/>
          <w:szCs w:val="32"/>
          <w:shd w:val="clear" w:color="auto" w:fill="auto"/>
          <w:lang w:val="en-US" w:eastAsia="zh-CN"/>
        </w:rPr>
        <w:t>五、甜蜜素(以环己基氨基磺酸计)</w:t>
      </w:r>
    </w:p>
    <w:p>
      <w:pPr>
        <w:widowControl/>
        <w:shd w:val="clear" w:color="auto" w:fill="FFFFFF"/>
        <w:snapToGrid w:val="0"/>
        <w:spacing w:line="590" w:lineRule="exact"/>
        <w:ind w:firstLine="640" w:firstLineChars="200"/>
        <w:rPr>
          <w:rFonts w:hint="eastAsia" w:ascii="仿宋_GB2312" w:hAnsi="仿宋_GB2312" w:eastAsia="仿宋_GB2312" w:cs="仿宋_GB2312"/>
          <w:b w:val="0"/>
          <w:bCs w:val="0"/>
          <w:color w:val="auto"/>
          <w:kern w:val="2"/>
          <w:sz w:val="32"/>
          <w:szCs w:val="32"/>
          <w:shd w:val="clear" w:color="auto" w:fill="auto"/>
          <w:lang w:val="en-US" w:eastAsia="zh-CN" w:bidi="ar-SA"/>
        </w:rPr>
      </w:pPr>
      <w:r>
        <w:rPr>
          <w:rFonts w:hint="eastAsia" w:ascii="仿宋_GB2312" w:hAnsi="仿宋_GB2312" w:eastAsia="仿宋_GB2312" w:cs="仿宋_GB2312"/>
          <w:b w:val="0"/>
          <w:bCs w:val="0"/>
          <w:color w:val="auto"/>
          <w:kern w:val="2"/>
          <w:sz w:val="32"/>
          <w:szCs w:val="32"/>
          <w:shd w:val="clear" w:color="auto" w:fill="auto"/>
          <w:lang w:val="en-US" w:eastAsia="zh-CN" w:bidi="ar-SA"/>
        </w:rPr>
        <w:t>甜蜜素(以环己基氨基磺酸计)，白色针状、片状结晶或结晶状粉末。无臭，味甜，它属于非营养型合成甜味剂，其甜度为蔗糖的30倍，而甜蜜素价格仅为蔗糖的三分之一，而且它不像糖精那样用量稍多时有苦味。在食品行业中应用广泛，可改善食品的口感风味。糖尿病患者、肥胖者可用其代替糖。《食品安全国家标准食品添加剂使用标准》（GB 2760-2014）中规定，甜蜜素(以环己基氨基磺酸计)在酱腌菜中最大使用量为1.0g/kg 。长期食用甜蜜素含量超标的食品，会对人体的肝脏和神经系统造成一定危害。</w:t>
      </w:r>
    </w:p>
    <w:p>
      <w:pPr>
        <w:widowControl/>
        <w:shd w:val="clear" w:color="auto" w:fill="FFFFFF"/>
        <w:snapToGrid w:val="0"/>
        <w:spacing w:line="590" w:lineRule="exact"/>
        <w:ind w:firstLine="640" w:firstLineChars="200"/>
        <w:rPr>
          <w:rFonts w:hint="eastAsia" w:ascii="仿宋_GB2312" w:hAnsi="仿宋_GB2312" w:eastAsia="仿宋_GB2312" w:cs="仿宋_GB2312"/>
          <w:b w:val="0"/>
          <w:bCs w:val="0"/>
          <w:color w:val="auto"/>
          <w:kern w:val="2"/>
          <w:sz w:val="32"/>
          <w:szCs w:val="32"/>
          <w:shd w:val="clear" w:color="auto" w:fill="auto"/>
          <w:lang w:val="en-US" w:eastAsia="zh-CN" w:bidi="ar-SA"/>
        </w:rPr>
      </w:pPr>
    </w:p>
    <w:p>
      <w:pPr>
        <w:numPr>
          <w:ilvl w:val="0"/>
          <w:numId w:val="0"/>
        </w:numPr>
        <w:spacing w:line="600" w:lineRule="exact"/>
        <w:ind w:firstLine="643" w:firstLineChars="200"/>
        <w:rPr>
          <w:rFonts w:hint="eastAsia" w:ascii="仿宋_GB2312" w:hAnsi="仿宋_GB2312" w:eastAsia="仿宋_GB2312" w:cs="仿宋_GB2312"/>
          <w:b/>
          <w:color w:val="auto"/>
          <w:sz w:val="32"/>
          <w:szCs w:val="32"/>
          <w:shd w:val="clear" w:color="auto" w:fill="auto"/>
          <w:lang w:val="en-US" w:eastAsia="zh-CN"/>
        </w:rPr>
      </w:pPr>
      <w:r>
        <w:rPr>
          <w:rFonts w:hint="eastAsia" w:ascii="仿宋_GB2312" w:hAnsi="仿宋_GB2312" w:eastAsia="仿宋_GB2312" w:cs="仿宋_GB2312"/>
          <w:b/>
          <w:color w:val="auto"/>
          <w:sz w:val="32"/>
          <w:szCs w:val="32"/>
          <w:shd w:val="clear" w:color="auto" w:fill="auto"/>
          <w:lang w:val="en-US" w:eastAsia="zh-CN"/>
        </w:rPr>
        <w:t>六、过氧化值</w:t>
      </w:r>
    </w:p>
    <w:p>
      <w:pPr>
        <w:pStyle w:val="2"/>
        <w:spacing w:before="0" w:beforeAutospacing="0" w:after="0" w:afterAutospacing="0" w:line="600" w:lineRule="exact"/>
        <w:ind w:firstLine="640" w:firstLineChars="200"/>
        <w:rPr>
          <w:rFonts w:hint="eastAsia" w:ascii="仿宋_GB2312" w:hAnsi="仿宋_GB2312" w:eastAsia="仿宋_GB2312" w:cs="仿宋_GB2312"/>
          <w:b w:val="0"/>
          <w:bCs w:val="0"/>
          <w:color w:val="auto"/>
          <w:kern w:val="2"/>
          <w:sz w:val="32"/>
          <w:szCs w:val="32"/>
          <w:shd w:val="clear" w:color="auto" w:fill="auto"/>
          <w:lang w:val="en-US" w:eastAsia="zh-CN" w:bidi="ar-SA"/>
        </w:rPr>
      </w:pPr>
      <w:r>
        <w:rPr>
          <w:rFonts w:hint="eastAsia" w:ascii="仿宋_GB2312" w:hAnsi="仿宋_GB2312" w:eastAsia="仿宋_GB2312" w:cs="仿宋_GB2312"/>
          <w:b w:val="0"/>
          <w:bCs w:val="0"/>
          <w:color w:val="auto"/>
          <w:kern w:val="2"/>
          <w:sz w:val="32"/>
          <w:szCs w:val="32"/>
          <w:shd w:val="clear" w:color="auto" w:fill="auto"/>
          <w:lang w:val="en-US" w:eastAsia="zh-CN" w:bidi="ar-SA"/>
        </w:rPr>
        <w:t>过氧化值主要反映油脂是否氧化变质，过氧化值升高是油脂酸败的早期指标。随着油脂氧化，过氧化值会逐步升高，一般不会影响人体健康，但过高时可能会导致肠胃不适、腹泻等症状。过氧化值超标的原因可能是产品在储存过程中环境条件控制不当，导致油脂氧化；也可能是原料中的脂肪已经氧化，原料储存不当，未采取有效的抗氧化措施，造成最终产品油脂氧化。</w:t>
      </w:r>
    </w:p>
    <w:p>
      <w:pPr>
        <w:pStyle w:val="11"/>
        <w:spacing w:line="600" w:lineRule="exact"/>
        <w:ind w:firstLine="640" w:firstLineChars="200"/>
        <w:jc w:val="both"/>
        <w:rPr>
          <w:rFonts w:hint="eastAsia" w:ascii="仿宋_GB2312" w:hAnsi="仿宋_GB2312" w:eastAsia="仿宋_GB2312" w:cs="仿宋_GB2312"/>
          <w:color w:val="auto"/>
          <w:sz w:val="32"/>
          <w:szCs w:val="32"/>
          <w:shd w:val="clear" w:color="auto" w:fill="auto"/>
        </w:rPr>
      </w:pPr>
    </w:p>
    <w:p>
      <w:pPr>
        <w:numPr>
          <w:ilvl w:val="0"/>
          <w:numId w:val="0"/>
        </w:numPr>
        <w:spacing w:line="600" w:lineRule="exact"/>
        <w:ind w:firstLine="643" w:firstLineChars="200"/>
        <w:rPr>
          <w:rFonts w:hint="eastAsia" w:ascii="仿宋_GB2312" w:hAnsi="仿宋_GB2312" w:eastAsia="仿宋_GB2312" w:cs="仿宋_GB2312"/>
          <w:b/>
          <w:color w:val="auto"/>
          <w:sz w:val="32"/>
          <w:szCs w:val="32"/>
          <w:shd w:val="clear" w:color="auto" w:fill="auto"/>
          <w:lang w:val="en-US" w:eastAsia="zh-CN"/>
        </w:rPr>
      </w:pPr>
      <w:r>
        <w:rPr>
          <w:rFonts w:hint="eastAsia" w:ascii="仿宋_GB2312" w:hAnsi="仿宋_GB2312" w:eastAsia="仿宋_GB2312" w:cs="仿宋_GB2312"/>
          <w:b/>
          <w:color w:val="auto"/>
          <w:sz w:val="32"/>
          <w:szCs w:val="32"/>
          <w:shd w:val="clear" w:color="auto" w:fill="auto"/>
          <w:lang w:val="en-US" w:eastAsia="zh-CN"/>
        </w:rPr>
        <w:t>七、胭脂红</w:t>
      </w:r>
    </w:p>
    <w:p>
      <w:pPr>
        <w:widowControl/>
        <w:shd w:val="clear" w:color="auto" w:fill="FFFFFF"/>
        <w:snapToGrid w:val="0"/>
        <w:spacing w:line="590" w:lineRule="exact"/>
        <w:ind w:firstLine="640" w:firstLineChars="200"/>
        <w:rPr>
          <w:rFonts w:hint="eastAsia" w:ascii="仿宋_GB2312" w:hAnsi="仿宋_GB2312" w:eastAsia="仿宋_GB2312" w:cs="仿宋_GB2312"/>
          <w:b w:val="0"/>
          <w:bCs w:val="0"/>
          <w:color w:val="auto"/>
          <w:kern w:val="2"/>
          <w:sz w:val="32"/>
          <w:szCs w:val="32"/>
          <w:shd w:val="clear" w:color="auto" w:fill="auto"/>
          <w:lang w:val="en-US" w:eastAsia="zh-CN" w:bidi="ar-SA"/>
        </w:rPr>
      </w:pPr>
      <w:r>
        <w:rPr>
          <w:rFonts w:hint="eastAsia" w:ascii="仿宋_GB2312" w:hAnsi="仿宋_GB2312" w:eastAsia="仿宋_GB2312" w:cs="仿宋_GB2312"/>
          <w:b w:val="0"/>
          <w:bCs w:val="0"/>
          <w:color w:val="auto"/>
          <w:kern w:val="2"/>
          <w:sz w:val="32"/>
          <w:szCs w:val="32"/>
          <w:shd w:val="clear" w:color="auto" w:fill="auto"/>
          <w:lang w:val="en-US" w:eastAsia="zh-CN" w:bidi="ar-SA"/>
        </w:rPr>
        <w:t>胭脂红为水溶性偶氮类着色剂，在食品行业中应用广泛，可改善食品的外观和色泽。《食品安全国家标准食品添加剂使用标准》（GB 2760—2014）中规定，肉制品中不得使用胭脂红。胭脂红属于安全性较高的合成色素，但若长期过量食用胭脂红超标的食品，可能对人体健康产生一定影响。</w:t>
      </w:r>
    </w:p>
    <w:p>
      <w:pPr>
        <w:widowControl/>
        <w:shd w:val="clear" w:color="auto" w:fill="FFFFFF"/>
        <w:snapToGrid w:val="0"/>
        <w:spacing w:line="590" w:lineRule="exact"/>
        <w:ind w:firstLine="640" w:firstLineChars="200"/>
        <w:rPr>
          <w:rFonts w:hint="eastAsia" w:ascii="仿宋_GB2312" w:hAnsi="仿宋_GB2312" w:eastAsia="仿宋_GB2312" w:cs="仿宋_GB2312"/>
          <w:b w:val="0"/>
          <w:bCs w:val="0"/>
          <w:color w:val="auto"/>
          <w:kern w:val="2"/>
          <w:sz w:val="32"/>
          <w:szCs w:val="32"/>
          <w:shd w:val="clear" w:color="auto" w:fill="auto"/>
          <w:lang w:val="en-US" w:eastAsia="zh-CN" w:bidi="ar-SA"/>
        </w:rPr>
      </w:pPr>
    </w:p>
    <w:p>
      <w:pPr>
        <w:numPr>
          <w:ilvl w:val="0"/>
          <w:numId w:val="0"/>
        </w:numPr>
        <w:spacing w:line="600" w:lineRule="exact"/>
        <w:ind w:firstLine="643" w:firstLineChars="200"/>
        <w:rPr>
          <w:rFonts w:hint="eastAsia" w:ascii="仿宋_GB2312" w:hAnsi="仿宋_GB2312" w:eastAsia="仿宋_GB2312" w:cs="仿宋_GB2312"/>
          <w:b/>
          <w:color w:val="auto"/>
          <w:sz w:val="32"/>
          <w:szCs w:val="32"/>
          <w:shd w:val="clear" w:color="auto" w:fill="auto"/>
          <w:lang w:val="en-US" w:eastAsia="zh-CN"/>
        </w:rPr>
      </w:pPr>
      <w:r>
        <w:rPr>
          <w:rFonts w:hint="eastAsia" w:ascii="仿宋_GB2312" w:hAnsi="仿宋_GB2312" w:eastAsia="仿宋_GB2312" w:cs="仿宋_GB2312"/>
          <w:b/>
          <w:color w:val="auto"/>
          <w:sz w:val="32"/>
          <w:szCs w:val="32"/>
          <w:shd w:val="clear" w:color="auto" w:fill="auto"/>
          <w:lang w:val="en-US" w:eastAsia="zh-CN"/>
        </w:rPr>
        <w:t>八、防腐剂混合使用时各自用量占其最大使用量的比例之和</w:t>
      </w:r>
    </w:p>
    <w:p>
      <w:pPr>
        <w:spacing w:line="600" w:lineRule="exact"/>
        <w:ind w:firstLine="640" w:firstLineChars="200"/>
        <w:rPr>
          <w:rFonts w:hint="eastAsia" w:ascii="仿宋_GB2312" w:hAnsi="仿宋_GB2312" w:eastAsia="仿宋_GB2312" w:cs="仿宋_GB2312"/>
          <w:b/>
          <w:color w:val="auto"/>
          <w:sz w:val="32"/>
          <w:szCs w:val="32"/>
          <w:shd w:val="clear" w:color="auto" w:fill="auto"/>
        </w:rPr>
      </w:pPr>
      <w:r>
        <w:rPr>
          <w:rFonts w:hint="eastAsia" w:ascii="仿宋_GB2312" w:hAnsi="仿宋_GB2312" w:eastAsia="仿宋_GB2312" w:cs="仿宋_GB2312"/>
          <w:b w:val="0"/>
          <w:bCs w:val="0"/>
          <w:kern w:val="2"/>
          <w:sz w:val="32"/>
          <w:szCs w:val="32"/>
          <w:lang w:val="en-US" w:eastAsia="zh-CN" w:bidi="ar-SA"/>
        </w:rPr>
        <w:t>防腐剂是以保持食品原有品质和营养价值为目的的食品添加剂，它能抑制微生物的生长繁殖，防止食品腐败变质从而延长保质期。《食品安全国家标准 食品添加剂使用标准》（GB2760-2014）中不仅规定了我国在食品中允许添加的某一添加剂的种类、使用量或残留量，而且规定了同一功能的防腐剂在混合使用时，各自用量占其最大使用量的比例之和不应超过1。长期过量食用防腐剂超标的食品，会对人体健康造成一定影响。</w:t>
      </w:r>
    </w:p>
    <w:p>
      <w:pPr>
        <w:spacing w:line="600" w:lineRule="exact"/>
        <w:ind w:firstLine="640" w:firstLineChars="200"/>
        <w:rPr>
          <w:rFonts w:hint="eastAsia" w:ascii="仿宋_GB2312" w:hAnsi="仿宋_GB2312" w:eastAsia="仿宋_GB2312" w:cs="仿宋_GB2312"/>
          <w:b w:val="0"/>
          <w:bCs w:val="0"/>
          <w:color w:val="auto"/>
          <w:kern w:val="2"/>
          <w:sz w:val="32"/>
          <w:szCs w:val="32"/>
          <w:shd w:val="clear" w:color="auto" w:fill="auto"/>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CA283"/>
    <w:multiLevelType w:val="singleLevel"/>
    <w:tmpl w:val="10BCA28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6EFA"/>
    <w:rsid w:val="004B6EFA"/>
    <w:rsid w:val="00820F31"/>
    <w:rsid w:val="00824259"/>
    <w:rsid w:val="009A15EF"/>
    <w:rsid w:val="00B67A85"/>
    <w:rsid w:val="00F421C8"/>
    <w:rsid w:val="022F5711"/>
    <w:rsid w:val="18451B3F"/>
    <w:rsid w:val="22550787"/>
    <w:rsid w:val="2FD41AD3"/>
    <w:rsid w:val="33841E18"/>
    <w:rsid w:val="391352A9"/>
    <w:rsid w:val="40D02B01"/>
    <w:rsid w:val="442E3F62"/>
    <w:rsid w:val="4B323532"/>
    <w:rsid w:val="4DF032BF"/>
    <w:rsid w:val="500B7A5A"/>
    <w:rsid w:val="552D5B61"/>
    <w:rsid w:val="59CC2E9D"/>
    <w:rsid w:val="5BE11CCA"/>
    <w:rsid w:val="63ED23CF"/>
    <w:rsid w:val="68935100"/>
    <w:rsid w:val="6EF66C78"/>
    <w:rsid w:val="73110CCC"/>
    <w:rsid w:val="735E7474"/>
    <w:rsid w:val="73AE23A9"/>
    <w:rsid w:val="757B7956"/>
    <w:rsid w:val="76AE65B4"/>
    <w:rsid w:val="796E4298"/>
    <w:rsid w:val="7E353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9"/>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标题 3 Char"/>
    <w:basedOn w:val="5"/>
    <w:link w:val="2"/>
    <w:qFormat/>
    <w:uiPriority w:val="9"/>
    <w:rPr>
      <w:rFonts w:ascii="宋体" w:hAnsi="宋体" w:eastAsia="宋体" w:cs="宋体"/>
      <w:b/>
      <w:bCs/>
      <w:kern w:val="0"/>
      <w:sz w:val="27"/>
      <w:szCs w:val="27"/>
    </w:rPr>
  </w:style>
  <w:style w:type="paragraph" w:customStyle="1" w:styleId="10">
    <w:name w:val="_Style 1"/>
    <w:basedOn w:val="1"/>
    <w:qFormat/>
    <w:uiPriority w:val="34"/>
    <w:pPr>
      <w:ind w:firstLine="420" w:firstLineChars="200"/>
    </w:p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Pages>
  <Words>25</Words>
  <Characters>147</Characters>
  <Lines>1</Lines>
  <Paragraphs>1</Paragraphs>
  <TotalTime>3</TotalTime>
  <ScaleCrop>false</ScaleCrop>
  <LinksUpToDate>false</LinksUpToDate>
  <CharactersWithSpaces>171</CharactersWithSpaces>
  <Application>WPS Office_11.1.0.7720_F1E327BC-269C-435d-A152-05C5408002CA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沙漏</cp:lastModifiedBy>
  <dcterms:modified xsi:type="dcterms:W3CDTF">2019-09-27T06:46:06Z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ies>
</file>